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12FB64" w14:textId="28CAC526" w:rsidR="00EC619D" w:rsidRPr="00A25C94" w:rsidRDefault="00EC619D" w:rsidP="00A25C94">
      <w:pPr>
        <w:shd w:val="clear" w:color="auto" w:fill="FFFFFF"/>
        <w:spacing w:before="200" w:after="200"/>
        <w:jc w:val="center"/>
        <w:rPr>
          <w:b/>
          <w:sz w:val="32"/>
          <w:szCs w:val="32"/>
          <w:lang w:val="en-US"/>
        </w:rPr>
      </w:pPr>
      <w:r w:rsidRPr="007E1F5B">
        <w:rPr>
          <w:b/>
          <w:sz w:val="32"/>
          <w:szCs w:val="32"/>
        </w:rPr>
        <w:t>TSS, Inc.</w:t>
      </w:r>
      <w:r w:rsidR="00403C3D" w:rsidRPr="007E1F5B">
        <w:rPr>
          <w:b/>
          <w:sz w:val="32"/>
          <w:szCs w:val="32"/>
        </w:rPr>
        <w:t xml:space="preserve"> </w:t>
      </w:r>
      <w:r w:rsidR="00A25C94" w:rsidRPr="00A25C94">
        <w:rPr>
          <w:b/>
          <w:sz w:val="32"/>
          <w:szCs w:val="32"/>
          <w:lang w:val="en-US"/>
        </w:rPr>
        <w:t>to Ring Nasdaq</w:t>
      </w:r>
      <w:r w:rsidR="00A25C94">
        <w:rPr>
          <w:b/>
          <w:sz w:val="32"/>
          <w:szCs w:val="32"/>
        </w:rPr>
        <w:t xml:space="preserve"> </w:t>
      </w:r>
      <w:r w:rsidR="0066328A">
        <w:rPr>
          <w:b/>
          <w:sz w:val="32"/>
          <w:szCs w:val="32"/>
        </w:rPr>
        <w:t>Closing Bell on January 24</w:t>
      </w:r>
    </w:p>
    <w:p w14:paraId="05AAD0C4" w14:textId="77777777" w:rsidR="00446FF6" w:rsidRDefault="00446FF6" w:rsidP="001748C8">
      <w:pPr>
        <w:shd w:val="clear" w:color="auto" w:fill="FFFFFF"/>
        <w:jc w:val="both"/>
        <w:rPr>
          <w:rStyle w:val="Strong"/>
          <w:sz w:val="20"/>
          <w:szCs w:val="20"/>
        </w:rPr>
      </w:pPr>
    </w:p>
    <w:p w14:paraId="02A0FFAB" w14:textId="54F10D44" w:rsidR="00B553D8" w:rsidRDefault="00EC619D" w:rsidP="00B553D8">
      <w:pPr>
        <w:shd w:val="clear" w:color="auto" w:fill="FFFFFF" w:themeFill="background1"/>
        <w:jc w:val="both"/>
        <w:rPr>
          <w:sz w:val="20"/>
          <w:szCs w:val="20"/>
          <w:lang w:val="en-US"/>
        </w:rPr>
      </w:pPr>
      <w:r w:rsidRPr="7EB58723">
        <w:rPr>
          <w:rStyle w:val="Strong"/>
          <w:sz w:val="20"/>
          <w:szCs w:val="20"/>
          <w:lang w:val="en-US"/>
        </w:rPr>
        <w:t>ROUND ROCK, Texas</w:t>
      </w:r>
      <w:r w:rsidR="00403C3D" w:rsidRPr="7EB58723">
        <w:rPr>
          <w:b/>
          <w:bCs/>
          <w:sz w:val="20"/>
          <w:szCs w:val="20"/>
          <w:lang w:val="en-US"/>
        </w:rPr>
        <w:t xml:space="preserve"> / </w:t>
      </w:r>
      <w:r w:rsidR="00A25C94">
        <w:rPr>
          <w:b/>
          <w:bCs/>
          <w:sz w:val="20"/>
          <w:szCs w:val="20"/>
          <w:lang w:val="en-US"/>
        </w:rPr>
        <w:t xml:space="preserve">January </w:t>
      </w:r>
      <w:r w:rsidR="00364F68">
        <w:rPr>
          <w:b/>
          <w:bCs/>
          <w:sz w:val="20"/>
          <w:szCs w:val="20"/>
          <w:lang w:val="en-US"/>
        </w:rPr>
        <w:t>22,</w:t>
      </w:r>
      <w:r w:rsidR="00364F68" w:rsidRPr="7EB58723">
        <w:rPr>
          <w:b/>
          <w:bCs/>
          <w:sz w:val="20"/>
          <w:szCs w:val="20"/>
          <w:lang w:val="en-US"/>
        </w:rPr>
        <w:t xml:space="preserve"> </w:t>
      </w:r>
      <w:r w:rsidRPr="7EB58723">
        <w:rPr>
          <w:b/>
          <w:bCs/>
          <w:sz w:val="20"/>
          <w:szCs w:val="20"/>
          <w:lang w:val="en-US"/>
        </w:rPr>
        <w:t>202</w:t>
      </w:r>
      <w:r w:rsidR="00A25C94">
        <w:rPr>
          <w:b/>
          <w:bCs/>
          <w:sz w:val="20"/>
          <w:szCs w:val="20"/>
          <w:lang w:val="en-US"/>
        </w:rPr>
        <w:t>5</w:t>
      </w:r>
      <w:r w:rsidR="00403C3D" w:rsidRPr="7EB58723">
        <w:rPr>
          <w:b/>
          <w:bCs/>
          <w:sz w:val="20"/>
          <w:szCs w:val="20"/>
          <w:lang w:val="en-US"/>
        </w:rPr>
        <w:t xml:space="preserve"> /</w:t>
      </w:r>
      <w:r w:rsidR="00403C3D" w:rsidRPr="7EB58723">
        <w:rPr>
          <w:sz w:val="20"/>
          <w:szCs w:val="20"/>
          <w:lang w:val="en-US"/>
        </w:rPr>
        <w:t xml:space="preserve"> </w:t>
      </w:r>
      <w:r w:rsidRPr="7EB58723">
        <w:rPr>
          <w:rStyle w:val="Strong"/>
          <w:sz w:val="20"/>
          <w:szCs w:val="20"/>
          <w:lang w:val="en-US"/>
        </w:rPr>
        <w:t>TSS, Inc. (</w:t>
      </w:r>
      <w:r w:rsidR="00B44F04">
        <w:rPr>
          <w:rStyle w:val="Strong"/>
          <w:sz w:val="20"/>
          <w:szCs w:val="20"/>
          <w:lang w:val="en-US"/>
        </w:rPr>
        <w:t>Nasdaq</w:t>
      </w:r>
      <w:r w:rsidRPr="7EB58723">
        <w:rPr>
          <w:rStyle w:val="Strong"/>
          <w:sz w:val="20"/>
          <w:szCs w:val="20"/>
          <w:lang w:val="en-US"/>
        </w:rPr>
        <w:t xml:space="preserve">: TSSI), </w:t>
      </w:r>
      <w:r w:rsidRPr="7EB58723">
        <w:rPr>
          <w:sz w:val="20"/>
          <w:szCs w:val="20"/>
          <w:lang w:val="en-US"/>
        </w:rPr>
        <w:t xml:space="preserve">a </w:t>
      </w:r>
      <w:r w:rsidR="002E3CFC" w:rsidRPr="7EB58723">
        <w:rPr>
          <w:sz w:val="20"/>
          <w:szCs w:val="20"/>
          <w:lang w:val="en-US"/>
        </w:rPr>
        <w:t xml:space="preserve">leading </w:t>
      </w:r>
      <w:r w:rsidRPr="7EB58723">
        <w:rPr>
          <w:sz w:val="20"/>
          <w:szCs w:val="20"/>
          <w:lang w:val="en-US"/>
        </w:rPr>
        <w:t xml:space="preserve">data center services company </w:t>
      </w:r>
      <w:r w:rsidR="002E3CFC" w:rsidRPr="7EB58723">
        <w:rPr>
          <w:sz w:val="20"/>
          <w:szCs w:val="20"/>
          <w:lang w:val="en-US"/>
        </w:rPr>
        <w:t>in the</w:t>
      </w:r>
      <w:r w:rsidRPr="7EB58723">
        <w:rPr>
          <w:sz w:val="20"/>
          <w:szCs w:val="20"/>
          <w:lang w:val="en-US"/>
        </w:rPr>
        <w:t xml:space="preserve"> AI and high-performance computing infrastructure</w:t>
      </w:r>
      <w:r w:rsidR="002E3CFC" w:rsidRPr="7EB58723">
        <w:rPr>
          <w:sz w:val="20"/>
          <w:szCs w:val="20"/>
          <w:lang w:val="en-US"/>
        </w:rPr>
        <w:t xml:space="preserve"> and services market</w:t>
      </w:r>
      <w:r w:rsidRPr="7EB58723">
        <w:rPr>
          <w:sz w:val="20"/>
          <w:szCs w:val="20"/>
          <w:lang w:val="en-US"/>
        </w:rPr>
        <w:t xml:space="preserve">, </w:t>
      </w:r>
      <w:r w:rsidR="00A25C94" w:rsidRPr="00A25C94">
        <w:rPr>
          <w:sz w:val="20"/>
          <w:szCs w:val="20"/>
        </w:rPr>
        <w:t xml:space="preserve">today announced that it </w:t>
      </w:r>
      <w:r w:rsidR="00B44F04">
        <w:rPr>
          <w:sz w:val="20"/>
          <w:szCs w:val="20"/>
        </w:rPr>
        <w:t xml:space="preserve">is scheduled to ring </w:t>
      </w:r>
      <w:r w:rsidR="00A25C94" w:rsidRPr="00A25C94">
        <w:rPr>
          <w:sz w:val="20"/>
          <w:szCs w:val="20"/>
        </w:rPr>
        <w:t xml:space="preserve">the Closing Bell at Nasdaq on </w:t>
      </w:r>
      <w:r w:rsidR="00A25C94">
        <w:rPr>
          <w:sz w:val="20"/>
          <w:szCs w:val="20"/>
        </w:rPr>
        <w:t>Friday</w:t>
      </w:r>
      <w:r w:rsidR="00A25C94" w:rsidRPr="00A25C94">
        <w:rPr>
          <w:sz w:val="20"/>
          <w:szCs w:val="20"/>
        </w:rPr>
        <w:t xml:space="preserve">, </w:t>
      </w:r>
      <w:r w:rsidR="00A25C94">
        <w:rPr>
          <w:sz w:val="20"/>
          <w:szCs w:val="20"/>
        </w:rPr>
        <w:t xml:space="preserve">January </w:t>
      </w:r>
      <w:r w:rsidR="00A25C94" w:rsidRPr="00A25C94">
        <w:rPr>
          <w:sz w:val="20"/>
          <w:szCs w:val="20"/>
        </w:rPr>
        <w:t>2</w:t>
      </w:r>
      <w:r w:rsidR="00A25C94">
        <w:rPr>
          <w:sz w:val="20"/>
          <w:szCs w:val="20"/>
        </w:rPr>
        <w:t>4</w:t>
      </w:r>
      <w:r w:rsidR="00A25C94" w:rsidRPr="00A25C94">
        <w:rPr>
          <w:sz w:val="20"/>
          <w:szCs w:val="20"/>
        </w:rPr>
        <w:t>, 202</w:t>
      </w:r>
      <w:r w:rsidR="00A25C94">
        <w:rPr>
          <w:sz w:val="20"/>
          <w:szCs w:val="20"/>
        </w:rPr>
        <w:t>5</w:t>
      </w:r>
      <w:r w:rsidR="00A25C94" w:rsidRPr="00A25C94">
        <w:rPr>
          <w:sz w:val="20"/>
          <w:szCs w:val="20"/>
        </w:rPr>
        <w:t>. </w:t>
      </w:r>
    </w:p>
    <w:p w14:paraId="5532A716" w14:textId="516118C0" w:rsidR="00B553D8" w:rsidRDefault="00B553D8" w:rsidP="00B553D8">
      <w:pPr>
        <w:shd w:val="clear" w:color="auto" w:fill="FFFFFF" w:themeFill="background1"/>
        <w:jc w:val="both"/>
        <w:rPr>
          <w:sz w:val="20"/>
          <w:szCs w:val="20"/>
          <w:lang w:val="en-US"/>
        </w:rPr>
      </w:pPr>
    </w:p>
    <w:p w14:paraId="5BC09D0A" w14:textId="16A86501" w:rsidR="00A25C94" w:rsidRDefault="00A25C94" w:rsidP="00B553D8">
      <w:pPr>
        <w:shd w:val="clear" w:color="auto" w:fill="FFFFFF" w:themeFill="background1"/>
        <w:jc w:val="both"/>
        <w:rPr>
          <w:sz w:val="20"/>
          <w:szCs w:val="20"/>
        </w:rPr>
      </w:pPr>
      <w:r>
        <w:rPr>
          <w:sz w:val="20"/>
          <w:szCs w:val="20"/>
        </w:rPr>
        <w:t xml:space="preserve">TSS </w:t>
      </w:r>
      <w:r w:rsidRPr="00A25C94">
        <w:rPr>
          <w:sz w:val="20"/>
          <w:szCs w:val="20"/>
        </w:rPr>
        <w:t xml:space="preserve">will be at the Nasdaq MarketSite in Times Square in New York City in commemoration of the </w:t>
      </w:r>
      <w:r>
        <w:rPr>
          <w:sz w:val="20"/>
          <w:szCs w:val="20"/>
        </w:rPr>
        <w:t>c</w:t>
      </w:r>
      <w:r w:rsidRPr="00A25C94">
        <w:rPr>
          <w:sz w:val="20"/>
          <w:szCs w:val="20"/>
        </w:rPr>
        <w:t xml:space="preserve">ompany’s </w:t>
      </w:r>
      <w:r w:rsidRPr="00A13D00">
        <w:rPr>
          <w:sz w:val="20"/>
          <w:szCs w:val="20"/>
        </w:rPr>
        <w:t xml:space="preserve">recent </w:t>
      </w:r>
      <w:r w:rsidR="00EC5150" w:rsidRPr="00364F68">
        <w:rPr>
          <w:sz w:val="20"/>
          <w:szCs w:val="20"/>
        </w:rPr>
        <w:t xml:space="preserve">uplisting and </w:t>
      </w:r>
      <w:r w:rsidRPr="00A13D00">
        <w:rPr>
          <w:sz w:val="20"/>
          <w:szCs w:val="20"/>
        </w:rPr>
        <w:t>successes and accomplishments</w:t>
      </w:r>
      <w:r w:rsidR="00EC5150" w:rsidRPr="00364F68">
        <w:rPr>
          <w:sz w:val="20"/>
          <w:szCs w:val="20"/>
        </w:rPr>
        <w:t xml:space="preserve">. </w:t>
      </w:r>
      <w:r w:rsidRPr="00A13D00">
        <w:rPr>
          <w:sz w:val="20"/>
          <w:szCs w:val="20"/>
        </w:rPr>
        <w:t xml:space="preserve">Darryll Dewan, CEO of TSS Inc., joined by the company’s </w:t>
      </w:r>
      <w:r w:rsidR="00EC5150" w:rsidRPr="00364F68">
        <w:rPr>
          <w:sz w:val="20"/>
          <w:szCs w:val="20"/>
        </w:rPr>
        <w:t xml:space="preserve">Chairman of the </w:t>
      </w:r>
      <w:r w:rsidRPr="00A13D00">
        <w:rPr>
          <w:sz w:val="20"/>
          <w:szCs w:val="20"/>
        </w:rPr>
        <w:t xml:space="preserve">board </w:t>
      </w:r>
      <w:r w:rsidRPr="00A25C94">
        <w:rPr>
          <w:sz w:val="20"/>
          <w:szCs w:val="20"/>
        </w:rPr>
        <w:t xml:space="preserve">of directors and members of the </w:t>
      </w:r>
      <w:r>
        <w:rPr>
          <w:sz w:val="20"/>
          <w:szCs w:val="20"/>
        </w:rPr>
        <w:t>c</w:t>
      </w:r>
      <w:r w:rsidRPr="00A25C94">
        <w:rPr>
          <w:sz w:val="20"/>
          <w:szCs w:val="20"/>
        </w:rPr>
        <w:t xml:space="preserve">ompany’s management team, will ring Nasdaq’s </w:t>
      </w:r>
      <w:r w:rsidR="00144C88" w:rsidRPr="00A25C94">
        <w:rPr>
          <w:sz w:val="20"/>
          <w:szCs w:val="20"/>
        </w:rPr>
        <w:t>Closing Bell. </w:t>
      </w:r>
    </w:p>
    <w:p w14:paraId="57DB8FDD" w14:textId="77777777" w:rsidR="00A25C94" w:rsidRPr="00A25C94" w:rsidRDefault="00A25C94" w:rsidP="00B553D8">
      <w:pPr>
        <w:shd w:val="clear" w:color="auto" w:fill="FFFFFF" w:themeFill="background1"/>
        <w:jc w:val="both"/>
        <w:rPr>
          <w:sz w:val="20"/>
          <w:szCs w:val="20"/>
          <w:lang w:val="en-US"/>
        </w:rPr>
      </w:pPr>
    </w:p>
    <w:p w14:paraId="32F47252" w14:textId="238378BB" w:rsidR="00561B6F" w:rsidRDefault="00561B6F" w:rsidP="00561B6F">
      <w:pPr>
        <w:jc w:val="both"/>
        <w:rPr>
          <w:rFonts w:eastAsia="Times New Roman"/>
          <w:sz w:val="20"/>
          <w:szCs w:val="20"/>
          <w:lang w:val="en-US"/>
        </w:rPr>
      </w:pPr>
      <w:r>
        <w:rPr>
          <w:rFonts w:eastAsia="Times New Roman"/>
          <w:sz w:val="20"/>
          <w:szCs w:val="20"/>
          <w:lang w:val="en-US"/>
        </w:rPr>
        <w:t xml:space="preserve">Darryll Dewan, CEO of TSS Inc., commented, </w:t>
      </w:r>
      <w:r w:rsidRPr="00561B6F">
        <w:rPr>
          <w:rFonts w:eastAsia="Times New Roman"/>
          <w:sz w:val="20"/>
          <w:szCs w:val="20"/>
          <w:lang w:val="en-US"/>
        </w:rPr>
        <w:t xml:space="preserve">“We are incredibly proud of the progress we are making in the rapidly evolving AI and high-performance data center industries. Nasdaq is the hub for innovative growth companies, and ringing the Closing Bell is a significant moment for our company. This event is an opportunity for us to highlight the momentum we are building both within our business and in establishing TSS as a leader in high-tech data center </w:t>
      </w:r>
      <w:r w:rsidR="00D72FB4">
        <w:rPr>
          <w:rFonts w:eastAsia="Times New Roman"/>
          <w:sz w:val="20"/>
          <w:szCs w:val="20"/>
          <w:lang w:val="en-US"/>
        </w:rPr>
        <w:t xml:space="preserve">integration </w:t>
      </w:r>
      <w:r w:rsidRPr="00561B6F">
        <w:rPr>
          <w:rFonts w:eastAsia="Times New Roman"/>
          <w:sz w:val="20"/>
          <w:szCs w:val="20"/>
          <w:lang w:val="en-US"/>
        </w:rPr>
        <w:t>services. We have worked hard to get to this point</w:t>
      </w:r>
      <w:r w:rsidR="00A010C0">
        <w:rPr>
          <w:rFonts w:eastAsia="Times New Roman"/>
          <w:sz w:val="20"/>
          <w:szCs w:val="20"/>
          <w:lang w:val="en-US"/>
        </w:rPr>
        <w:t xml:space="preserve">, and it is </w:t>
      </w:r>
      <w:r w:rsidRPr="00561B6F">
        <w:rPr>
          <w:rFonts w:eastAsia="Times New Roman"/>
          <w:sz w:val="20"/>
          <w:szCs w:val="20"/>
          <w:lang w:val="en-US"/>
        </w:rPr>
        <w:t>our employees' dedication to quality, speed and flexibility that makes it all possible. Their commitment drives the success we are experiencing and will continue to fuel our growth as we deliver cutting-edge technology solutions to the market.”</w:t>
      </w:r>
    </w:p>
    <w:p w14:paraId="071197B0" w14:textId="77777777" w:rsidR="00BA61A1" w:rsidRDefault="00BA61A1" w:rsidP="00BA61A1">
      <w:pPr>
        <w:jc w:val="both"/>
        <w:rPr>
          <w:rFonts w:eastAsia="Times New Roman"/>
          <w:b/>
          <w:bCs/>
          <w:sz w:val="20"/>
          <w:szCs w:val="20"/>
          <w:lang w:val="en-US"/>
        </w:rPr>
      </w:pPr>
    </w:p>
    <w:p w14:paraId="48F4E20D" w14:textId="46AB5712" w:rsidR="00BA61A1" w:rsidRPr="00BA61A1" w:rsidRDefault="00BA61A1" w:rsidP="00616197">
      <w:pPr>
        <w:tabs>
          <w:tab w:val="left" w:pos="1440"/>
        </w:tabs>
        <w:spacing w:after="120"/>
        <w:jc w:val="both"/>
        <w:rPr>
          <w:rFonts w:eastAsia="Times New Roman"/>
          <w:b/>
          <w:bCs/>
          <w:sz w:val="20"/>
          <w:szCs w:val="20"/>
          <w:lang w:val="en-US"/>
        </w:rPr>
      </w:pPr>
      <w:r w:rsidRPr="00BA61A1">
        <w:rPr>
          <w:rFonts w:eastAsia="Times New Roman"/>
          <w:b/>
          <w:bCs/>
          <w:sz w:val="20"/>
          <w:szCs w:val="20"/>
          <w:lang w:val="en-US"/>
        </w:rPr>
        <w:t>When: </w:t>
      </w:r>
      <w:r w:rsidR="00C82CC4">
        <w:rPr>
          <w:rFonts w:eastAsia="Times New Roman"/>
          <w:b/>
          <w:bCs/>
          <w:sz w:val="20"/>
          <w:szCs w:val="20"/>
          <w:lang w:val="en-US"/>
        </w:rPr>
        <w:tab/>
      </w:r>
      <w:r w:rsidRPr="00BA61A1">
        <w:rPr>
          <w:rFonts w:eastAsia="Times New Roman"/>
          <w:sz w:val="20"/>
          <w:szCs w:val="20"/>
          <w:lang w:val="en-US"/>
        </w:rPr>
        <w:t>Friday, January 24, 2025 – 3:45 p.m. to 4:00 p.m. ET </w:t>
      </w:r>
    </w:p>
    <w:p w14:paraId="3DA25BBC" w14:textId="36383A43" w:rsidR="00BA61A1" w:rsidRPr="00BA61A1" w:rsidRDefault="00BA61A1" w:rsidP="00616197">
      <w:pPr>
        <w:spacing w:after="120"/>
        <w:jc w:val="both"/>
        <w:rPr>
          <w:rFonts w:eastAsia="Times New Roman"/>
          <w:b/>
          <w:bCs/>
          <w:sz w:val="20"/>
          <w:szCs w:val="20"/>
          <w:lang w:val="en-US"/>
        </w:rPr>
      </w:pPr>
      <w:r w:rsidRPr="00BA61A1">
        <w:rPr>
          <w:rFonts w:eastAsia="Times New Roman"/>
          <w:b/>
          <w:bCs/>
          <w:sz w:val="20"/>
          <w:szCs w:val="20"/>
          <w:lang w:val="en-US"/>
        </w:rPr>
        <w:t>Where: </w:t>
      </w:r>
      <w:r w:rsidR="00C82CC4">
        <w:rPr>
          <w:rFonts w:eastAsia="Times New Roman"/>
          <w:b/>
          <w:bCs/>
          <w:sz w:val="20"/>
          <w:szCs w:val="20"/>
          <w:lang w:val="en-US"/>
        </w:rPr>
        <w:tab/>
      </w:r>
      <w:r w:rsidRPr="00BA61A1">
        <w:rPr>
          <w:rFonts w:eastAsia="Times New Roman"/>
          <w:sz w:val="20"/>
          <w:szCs w:val="20"/>
          <w:lang w:val="en-US"/>
        </w:rPr>
        <w:t>Nasdaq MarketSite – New York City</w:t>
      </w:r>
      <w:r w:rsidRPr="00BA61A1">
        <w:rPr>
          <w:rFonts w:eastAsia="Times New Roman"/>
          <w:b/>
          <w:bCs/>
          <w:sz w:val="20"/>
          <w:szCs w:val="20"/>
          <w:lang w:val="en-US"/>
        </w:rPr>
        <w:t>  </w:t>
      </w:r>
    </w:p>
    <w:p w14:paraId="45F7769D" w14:textId="0161631C" w:rsidR="00A26AAB" w:rsidRDefault="00991381" w:rsidP="00616197">
      <w:pPr>
        <w:spacing w:after="120"/>
        <w:ind w:left="1440" w:hanging="1440"/>
        <w:jc w:val="both"/>
        <w:rPr>
          <w:rFonts w:eastAsia="Times New Roman"/>
          <w:sz w:val="20"/>
          <w:szCs w:val="20"/>
          <w:lang w:val="en-US"/>
        </w:rPr>
      </w:pPr>
      <w:r w:rsidRPr="00991381">
        <w:rPr>
          <w:rFonts w:eastAsia="Times New Roman"/>
          <w:b/>
          <w:bCs/>
          <w:sz w:val="20"/>
          <w:szCs w:val="20"/>
          <w:lang w:val="en-US"/>
        </w:rPr>
        <w:t xml:space="preserve">Webcast: </w:t>
      </w:r>
      <w:r w:rsidR="00C82CC4">
        <w:rPr>
          <w:rFonts w:eastAsia="Times New Roman"/>
          <w:b/>
          <w:bCs/>
          <w:sz w:val="20"/>
          <w:szCs w:val="20"/>
          <w:lang w:val="en-US"/>
        </w:rPr>
        <w:tab/>
      </w:r>
      <w:r w:rsidRPr="00991381">
        <w:rPr>
          <w:rFonts w:eastAsia="Times New Roman"/>
          <w:sz w:val="20"/>
          <w:szCs w:val="20"/>
          <w:lang w:val="en-US"/>
        </w:rPr>
        <w:t xml:space="preserve">A live stream of </w:t>
      </w:r>
      <w:r>
        <w:rPr>
          <w:rFonts w:eastAsia="Times New Roman"/>
          <w:sz w:val="20"/>
          <w:szCs w:val="20"/>
          <w:lang w:val="en-US"/>
        </w:rPr>
        <w:t xml:space="preserve">TSS Inc.’s </w:t>
      </w:r>
      <w:r w:rsidRPr="00991381">
        <w:rPr>
          <w:rFonts w:eastAsia="Times New Roman"/>
          <w:sz w:val="20"/>
          <w:szCs w:val="20"/>
          <w:lang w:val="en-US"/>
        </w:rPr>
        <w:t xml:space="preserve">CEO </w:t>
      </w:r>
      <w:r>
        <w:rPr>
          <w:rFonts w:eastAsia="Times New Roman"/>
          <w:sz w:val="20"/>
          <w:szCs w:val="20"/>
          <w:lang w:val="en-US"/>
        </w:rPr>
        <w:t>Darryll Dewan</w:t>
      </w:r>
      <w:r w:rsidRPr="00991381">
        <w:rPr>
          <w:rFonts w:eastAsia="Times New Roman"/>
          <w:sz w:val="20"/>
          <w:szCs w:val="20"/>
          <w:lang w:val="en-US"/>
        </w:rPr>
        <w:t xml:space="preserve">, joined by the company’s board </w:t>
      </w:r>
      <w:r w:rsidR="002E6935">
        <w:rPr>
          <w:rFonts w:eastAsia="Times New Roman"/>
          <w:sz w:val="20"/>
          <w:szCs w:val="20"/>
          <w:lang w:val="en-US"/>
        </w:rPr>
        <w:t>chairman</w:t>
      </w:r>
      <w:r w:rsidRPr="00991381">
        <w:rPr>
          <w:rFonts w:eastAsia="Times New Roman"/>
          <w:sz w:val="20"/>
          <w:szCs w:val="20"/>
          <w:lang w:val="en-US"/>
        </w:rPr>
        <w:t xml:space="preserve"> and members of the company’s management team, ringing the Nasdaq Closing Bell will be </w:t>
      </w:r>
      <w:hyperlink r:id="rId7" w:history="1">
        <w:r w:rsidRPr="00A26AAB">
          <w:rPr>
            <w:rStyle w:val="Hyperlink"/>
            <w:rFonts w:eastAsia="Times New Roman"/>
            <w:sz w:val="20"/>
            <w:szCs w:val="20"/>
            <w:lang w:val="en-US"/>
          </w:rPr>
          <w:t>streamed live from Nasdaq</w:t>
        </w:r>
      </w:hyperlink>
      <w:r w:rsidRPr="00991381">
        <w:rPr>
          <w:rFonts w:eastAsia="Times New Roman"/>
          <w:sz w:val="20"/>
          <w:szCs w:val="20"/>
          <w:lang w:val="en-US"/>
        </w:rPr>
        <w:t xml:space="preserve"> at Times Square in New York City</w:t>
      </w:r>
      <w:r w:rsidR="00A26AAB">
        <w:rPr>
          <w:rFonts w:eastAsia="Times New Roman"/>
          <w:sz w:val="20"/>
          <w:szCs w:val="20"/>
          <w:lang w:val="en-US"/>
        </w:rPr>
        <w:t>.</w:t>
      </w:r>
    </w:p>
    <w:p w14:paraId="04A6A028" w14:textId="7FAA5E7A" w:rsidR="00991381" w:rsidRDefault="000D6DD1" w:rsidP="00616197">
      <w:pPr>
        <w:spacing w:after="120"/>
        <w:ind w:left="1440" w:hanging="1440"/>
        <w:jc w:val="both"/>
        <w:rPr>
          <w:rFonts w:eastAsia="Times New Roman"/>
          <w:sz w:val="20"/>
          <w:szCs w:val="20"/>
          <w:lang w:val="en-US"/>
        </w:rPr>
      </w:pPr>
      <w:r>
        <w:rPr>
          <w:rFonts w:eastAsia="Times New Roman"/>
          <w:sz w:val="20"/>
          <w:szCs w:val="20"/>
          <w:lang w:val="en-US"/>
        </w:rPr>
        <w:t xml:space="preserve"> </w:t>
      </w:r>
    </w:p>
    <w:p w14:paraId="454EA32F" w14:textId="53980185" w:rsidR="00EC619D" w:rsidRPr="00EC619D" w:rsidRDefault="00EC619D" w:rsidP="00EC619D">
      <w:pPr>
        <w:spacing w:before="100" w:beforeAutospacing="1" w:after="100" w:afterAutospacing="1" w:line="240" w:lineRule="auto"/>
        <w:rPr>
          <w:rFonts w:eastAsia="Times New Roman"/>
          <w:sz w:val="20"/>
          <w:szCs w:val="20"/>
          <w:lang w:val="en-US"/>
        </w:rPr>
      </w:pPr>
      <w:r w:rsidRPr="00EC619D">
        <w:rPr>
          <w:rFonts w:eastAsia="Times New Roman"/>
          <w:b/>
          <w:bCs/>
          <w:sz w:val="20"/>
          <w:szCs w:val="20"/>
          <w:lang w:val="en-US"/>
        </w:rPr>
        <w:t xml:space="preserve">About TSS, Inc. </w:t>
      </w:r>
    </w:p>
    <w:p w14:paraId="74D72161" w14:textId="7C28883C" w:rsidR="00EC619D" w:rsidRPr="00EC619D" w:rsidRDefault="00EC619D" w:rsidP="00E410B7">
      <w:pPr>
        <w:spacing w:before="100" w:beforeAutospacing="1" w:after="100" w:afterAutospacing="1" w:line="240" w:lineRule="auto"/>
        <w:jc w:val="both"/>
        <w:rPr>
          <w:rFonts w:eastAsia="Times New Roman"/>
          <w:sz w:val="20"/>
          <w:szCs w:val="20"/>
          <w:lang w:val="en-US"/>
        </w:rPr>
      </w:pPr>
      <w:r w:rsidRPr="00EC619D">
        <w:rPr>
          <w:rFonts w:eastAsia="Times New Roman"/>
          <w:sz w:val="20"/>
          <w:szCs w:val="20"/>
          <w:lang w:val="en-US"/>
        </w:rPr>
        <w:t xml:space="preserve">TSS specializes in simplifying the complex. The TSS mission is to streamline the integration and deployment of high-performance computing infrastructure and software, ensuring that end users quickly receive and efficiently utilize the necessary technology. Known for flexibility, the company builds, integrates, and deploys custom, high-volume solutions that empower data centers and catalyze the digital transformation of generative AI and other leading-edge technologies essential for modern computing, data, and business needs. TSS's reputation is built on passion and experience, quality, and fast time to value. As trusted partners of the world's leading data center technology providers, the company manages and deploys billions of dollars in technology each year. For more information, visit </w:t>
      </w:r>
      <w:hyperlink r:id="rId8" w:tgtFrame="_blank" w:history="1">
        <w:r w:rsidRPr="00EC619D">
          <w:rPr>
            <w:rFonts w:eastAsia="Times New Roman"/>
            <w:color w:val="0000FF"/>
            <w:sz w:val="20"/>
            <w:szCs w:val="20"/>
            <w:u w:val="single"/>
            <w:lang w:val="en-US"/>
          </w:rPr>
          <w:t>www.tssiusa.com</w:t>
        </w:r>
      </w:hyperlink>
      <w:r w:rsidRPr="00EC619D">
        <w:rPr>
          <w:rFonts w:eastAsia="Times New Roman"/>
          <w:sz w:val="20"/>
          <w:szCs w:val="20"/>
          <w:lang w:val="en-US"/>
        </w:rPr>
        <w:t xml:space="preserve">. </w:t>
      </w:r>
    </w:p>
    <w:p w14:paraId="706E7E2A" w14:textId="2A113746" w:rsidR="00F838F6" w:rsidRDefault="00F838F6" w:rsidP="00EC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b/>
          <w:sz w:val="20"/>
          <w:szCs w:val="20"/>
          <w:lang w:val="en-US"/>
        </w:rPr>
      </w:pPr>
      <w:r>
        <w:rPr>
          <w:rFonts w:eastAsia="Times New Roman"/>
          <w:b/>
          <w:sz w:val="20"/>
          <w:szCs w:val="20"/>
          <w:lang w:val="en-US"/>
        </w:rPr>
        <w:t>Forward Looking Statements</w:t>
      </w:r>
    </w:p>
    <w:p w14:paraId="3DE0868C" w14:textId="77777777" w:rsidR="00F838F6" w:rsidRDefault="00F838F6" w:rsidP="00EC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b/>
          <w:sz w:val="20"/>
          <w:szCs w:val="20"/>
          <w:lang w:val="en-US"/>
        </w:rPr>
      </w:pPr>
    </w:p>
    <w:p w14:paraId="7E19B0E1" w14:textId="3D54FC46" w:rsidR="00F838F6" w:rsidRPr="00F838F6" w:rsidRDefault="00F838F6" w:rsidP="00F8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Times New Roman"/>
          <w:bCs/>
          <w:sz w:val="20"/>
          <w:szCs w:val="20"/>
          <w:lang w:val="en-US"/>
        </w:rPr>
      </w:pPr>
      <w:r w:rsidRPr="00F838F6">
        <w:rPr>
          <w:rFonts w:eastAsia="Times New Roman"/>
          <w:bCs/>
          <w:sz w:val="20"/>
          <w:szCs w:val="20"/>
          <w:lang w:val="en-US"/>
        </w:rPr>
        <w:t xml:space="preserve">The press release contains “forward-looking statements” – that is, statements related to future – not past – events, plans, and prospects. In this context, forward-looking statements may address matters such as our expected future business and financial performance, and often contain words such as “guidance,” “prospects,” “expects,” “anticipates,” “intends,” “plans,” “believes,” “seeks,” “should,” or “will.” Forward-looking statements by their nature address matters that are, to different degrees, uncertain. Particular uncertainties that could adversely or positively affect the Company's future results include: we may not have sufficient resources to fund our business and may need to issue debt or equity to obtain additional </w:t>
      </w:r>
      <w:r w:rsidRPr="00F838F6">
        <w:rPr>
          <w:rFonts w:eastAsia="Times New Roman"/>
          <w:bCs/>
          <w:sz w:val="20"/>
          <w:szCs w:val="20"/>
          <w:lang w:val="en-US"/>
        </w:rPr>
        <w:lastRenderedPageBreak/>
        <w:t>funding; our reliance on a significant portion of our revenues from a limited number of customers and our ability to diversify our customer base; risks relating to operating in a highly competitive industry; risks relating to supply chain challenges; risk related to changes in labor market conditions; risks related to the implementation of a new enterprise resource IT system; risk related to the development of our procurement and reseller services business; risks relating to rapid technological, structural, and competitive changes affecting the industries we serve; risks involved in properly managing complex projects; risks relating to the possible cancellation of customer contracts on short notice; risks relating our ability to continue to implement our strategy, including having sufficient financial resources to carry out that strategy; and other risks and uncertainties disclosed in our filings with the Securities and Exchange Commission, including the Annual Report on Form 10-K for the fiscal year ended December 31, 2023. These uncertainties may cause our actual future results to be materially different than those expressed in our forward-looking statements. We do not undertake to update our forward-looking statements.</w:t>
      </w:r>
    </w:p>
    <w:p w14:paraId="4DA9A6BB" w14:textId="77777777" w:rsidR="00F838F6" w:rsidRDefault="00F838F6" w:rsidP="00EC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b/>
          <w:sz w:val="20"/>
          <w:szCs w:val="20"/>
          <w:lang w:val="en-US"/>
        </w:rPr>
      </w:pPr>
    </w:p>
    <w:p w14:paraId="489B1EF1" w14:textId="1A02F264" w:rsidR="00EC619D" w:rsidRPr="00364F68" w:rsidRDefault="00EC619D" w:rsidP="00EC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b/>
          <w:sz w:val="20"/>
          <w:szCs w:val="20"/>
          <w:lang w:val="en-US"/>
        </w:rPr>
      </w:pPr>
      <w:r w:rsidRPr="00364F68">
        <w:rPr>
          <w:rFonts w:eastAsia="Times New Roman"/>
          <w:b/>
          <w:sz w:val="20"/>
          <w:szCs w:val="20"/>
          <w:lang w:val="en-US"/>
        </w:rPr>
        <w:t>Contacts:</w:t>
      </w:r>
    </w:p>
    <w:p w14:paraId="01FEDEBE" w14:textId="77777777" w:rsidR="00EC619D" w:rsidRPr="00364F68" w:rsidRDefault="00EC619D" w:rsidP="00EC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sz w:val="20"/>
          <w:szCs w:val="20"/>
          <w:lang w:val="en-US"/>
        </w:rPr>
      </w:pPr>
    </w:p>
    <w:p w14:paraId="29B3D4AC" w14:textId="15670504" w:rsidR="00EC619D" w:rsidRPr="00364F68" w:rsidRDefault="00EC619D" w:rsidP="00EC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sz w:val="20"/>
          <w:szCs w:val="20"/>
          <w:lang w:val="en-US"/>
        </w:rPr>
      </w:pPr>
      <w:r w:rsidRPr="00364F68">
        <w:rPr>
          <w:rFonts w:eastAsia="Times New Roman"/>
          <w:sz w:val="20"/>
          <w:szCs w:val="20"/>
          <w:lang w:val="en-US"/>
        </w:rPr>
        <w:t>Hayden IR</w:t>
      </w:r>
      <w:r w:rsidR="00E9636B" w:rsidRPr="00364F68">
        <w:rPr>
          <w:rFonts w:eastAsia="Times New Roman"/>
          <w:sz w:val="20"/>
          <w:szCs w:val="20"/>
          <w:lang w:val="en-US"/>
        </w:rPr>
        <w:tab/>
      </w:r>
      <w:r w:rsidR="00E9636B" w:rsidRPr="00364F68">
        <w:rPr>
          <w:rFonts w:eastAsia="Times New Roman"/>
          <w:sz w:val="20"/>
          <w:szCs w:val="20"/>
          <w:lang w:val="en-US"/>
        </w:rPr>
        <w:tab/>
      </w:r>
      <w:r w:rsidR="00E9636B" w:rsidRPr="00364F68">
        <w:rPr>
          <w:rFonts w:eastAsia="Times New Roman"/>
          <w:sz w:val="20"/>
          <w:szCs w:val="20"/>
          <w:lang w:val="en-US"/>
        </w:rPr>
        <w:tab/>
      </w:r>
      <w:r w:rsidR="00E9636B" w:rsidRPr="00364F68">
        <w:rPr>
          <w:rFonts w:eastAsia="Times New Roman"/>
          <w:sz w:val="20"/>
          <w:szCs w:val="20"/>
          <w:lang w:val="en-US"/>
        </w:rPr>
        <w:tab/>
      </w:r>
      <w:r w:rsidR="00E9636B" w:rsidRPr="00364F68">
        <w:rPr>
          <w:rFonts w:eastAsia="Times New Roman"/>
          <w:sz w:val="20"/>
          <w:szCs w:val="20"/>
          <w:lang w:val="en-US"/>
        </w:rPr>
        <w:tab/>
      </w:r>
      <w:r w:rsidR="00322B77" w:rsidRPr="00364F68">
        <w:rPr>
          <w:rFonts w:eastAsia="Times New Roman"/>
          <w:sz w:val="20"/>
          <w:szCs w:val="20"/>
          <w:lang w:val="en-US"/>
        </w:rPr>
        <w:t>TSS, Inc.</w:t>
      </w:r>
    </w:p>
    <w:p w14:paraId="72F2A66C" w14:textId="3CD791CE" w:rsidR="00EC619D" w:rsidRPr="000E6718" w:rsidRDefault="00EC619D" w:rsidP="00EC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sz w:val="20"/>
          <w:szCs w:val="20"/>
          <w:lang w:val="en-US"/>
        </w:rPr>
      </w:pPr>
      <w:r w:rsidRPr="000E6718">
        <w:rPr>
          <w:rFonts w:eastAsia="Times New Roman"/>
          <w:sz w:val="20"/>
          <w:szCs w:val="20"/>
          <w:lang w:val="en-US"/>
        </w:rPr>
        <w:t>James Carbonara (646-755-7412)</w:t>
      </w:r>
      <w:r w:rsidR="00E9636B" w:rsidRPr="000E6718">
        <w:rPr>
          <w:rFonts w:eastAsia="Times New Roman"/>
          <w:sz w:val="20"/>
          <w:szCs w:val="20"/>
          <w:lang w:val="en-US"/>
        </w:rPr>
        <w:tab/>
      </w:r>
      <w:r w:rsidR="00E9636B" w:rsidRPr="000E6718">
        <w:rPr>
          <w:rFonts w:eastAsia="Times New Roman"/>
          <w:sz w:val="20"/>
          <w:szCs w:val="20"/>
          <w:lang w:val="en-US"/>
        </w:rPr>
        <w:tab/>
      </w:r>
      <w:r w:rsidR="00E9636B" w:rsidRPr="000E6718">
        <w:rPr>
          <w:rFonts w:eastAsia="Times New Roman"/>
          <w:sz w:val="20"/>
          <w:szCs w:val="20"/>
          <w:lang w:val="en-US"/>
        </w:rPr>
        <w:tab/>
        <w:t>Da</w:t>
      </w:r>
      <w:r w:rsidR="00E9636B" w:rsidRPr="00820511">
        <w:rPr>
          <w:rFonts w:eastAsia="Times New Roman"/>
          <w:sz w:val="20"/>
          <w:szCs w:val="20"/>
          <w:lang w:val="en-US"/>
        </w:rPr>
        <w:t>nny Chism</w:t>
      </w:r>
    </w:p>
    <w:p w14:paraId="61E76934" w14:textId="73F61E71" w:rsidR="00EC619D" w:rsidRPr="000E6718" w:rsidRDefault="00EC619D" w:rsidP="00EC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sz w:val="20"/>
          <w:szCs w:val="20"/>
          <w:lang w:val="en-US"/>
        </w:rPr>
      </w:pPr>
      <w:r w:rsidRPr="000E6718">
        <w:rPr>
          <w:rFonts w:eastAsia="Times New Roman"/>
          <w:sz w:val="20"/>
          <w:szCs w:val="20"/>
          <w:lang w:val="en-US"/>
        </w:rPr>
        <w:t>Brett Maas (646-536-7331)</w:t>
      </w:r>
      <w:r w:rsidR="000E6718" w:rsidRPr="00820511">
        <w:rPr>
          <w:rFonts w:eastAsia="Times New Roman"/>
          <w:sz w:val="20"/>
          <w:szCs w:val="20"/>
          <w:lang w:val="en-US"/>
        </w:rPr>
        <w:tab/>
      </w:r>
      <w:r w:rsidR="000E6718" w:rsidRPr="00820511">
        <w:rPr>
          <w:rFonts w:eastAsia="Times New Roman"/>
          <w:sz w:val="20"/>
          <w:szCs w:val="20"/>
          <w:lang w:val="en-US"/>
        </w:rPr>
        <w:tab/>
      </w:r>
      <w:r w:rsidR="000E6718" w:rsidRPr="00820511">
        <w:rPr>
          <w:rFonts w:eastAsia="Times New Roman"/>
          <w:sz w:val="20"/>
          <w:szCs w:val="20"/>
          <w:lang w:val="en-US"/>
        </w:rPr>
        <w:tab/>
      </w:r>
      <w:r w:rsidR="000E6718" w:rsidRPr="00820511">
        <w:rPr>
          <w:rFonts w:eastAsia="Times New Roman"/>
          <w:sz w:val="20"/>
          <w:szCs w:val="20"/>
          <w:lang w:val="en-US"/>
        </w:rPr>
        <w:tab/>
        <w:t>Chief</w:t>
      </w:r>
      <w:r w:rsidR="000E6718">
        <w:rPr>
          <w:rFonts w:eastAsia="Times New Roman"/>
          <w:sz w:val="20"/>
          <w:szCs w:val="20"/>
          <w:lang w:val="en-US"/>
        </w:rPr>
        <w:t xml:space="preserve"> Financial Officer</w:t>
      </w:r>
    </w:p>
    <w:p w14:paraId="05BBE65B" w14:textId="0193A57E" w:rsidR="00EC619D" w:rsidRPr="00322B77" w:rsidRDefault="0023778A" w:rsidP="00EC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sz w:val="20"/>
          <w:szCs w:val="20"/>
          <w:lang w:val="en-US"/>
        </w:rPr>
      </w:pPr>
      <w:hyperlink r:id="rId9" w:history="1">
        <w:r w:rsidRPr="00322B77">
          <w:rPr>
            <w:rStyle w:val="Hyperlink"/>
            <w:rFonts w:eastAsia="Times New Roman"/>
            <w:sz w:val="20"/>
            <w:szCs w:val="20"/>
            <w:lang w:val="en-US"/>
          </w:rPr>
          <w:t>tssi@haydenir.com</w:t>
        </w:r>
      </w:hyperlink>
      <w:r w:rsidRPr="00322B77">
        <w:rPr>
          <w:rFonts w:eastAsia="Times New Roman"/>
          <w:sz w:val="20"/>
          <w:szCs w:val="20"/>
          <w:lang w:val="en-US"/>
        </w:rPr>
        <w:t xml:space="preserve"> </w:t>
      </w:r>
      <w:r w:rsidR="000E6718" w:rsidRPr="00322B77">
        <w:rPr>
          <w:rFonts w:eastAsia="Times New Roman"/>
          <w:sz w:val="20"/>
          <w:szCs w:val="20"/>
          <w:lang w:val="en-US"/>
        </w:rPr>
        <w:tab/>
      </w:r>
      <w:r w:rsidR="000E6718" w:rsidRPr="00322B77">
        <w:rPr>
          <w:rFonts w:eastAsia="Times New Roman"/>
          <w:sz w:val="20"/>
          <w:szCs w:val="20"/>
          <w:lang w:val="en-US"/>
        </w:rPr>
        <w:tab/>
      </w:r>
      <w:r w:rsidR="000E6718" w:rsidRPr="00322B77">
        <w:rPr>
          <w:rFonts w:eastAsia="Times New Roman"/>
          <w:sz w:val="20"/>
          <w:szCs w:val="20"/>
          <w:lang w:val="en-US"/>
        </w:rPr>
        <w:tab/>
      </w:r>
      <w:r w:rsidR="000E6718" w:rsidRPr="00322B77">
        <w:rPr>
          <w:rFonts w:eastAsia="Times New Roman"/>
          <w:sz w:val="20"/>
          <w:szCs w:val="20"/>
          <w:lang w:val="en-US"/>
        </w:rPr>
        <w:tab/>
      </w:r>
      <w:r w:rsidR="000E6718" w:rsidRPr="00322B77">
        <w:rPr>
          <w:rFonts w:eastAsia="Times New Roman"/>
          <w:sz w:val="20"/>
          <w:szCs w:val="20"/>
          <w:lang w:val="en-US"/>
        </w:rPr>
        <w:tab/>
      </w:r>
      <w:r w:rsidR="009F570C" w:rsidRPr="00322B77">
        <w:rPr>
          <w:rFonts w:eastAsia="Times New Roman"/>
          <w:sz w:val="20"/>
          <w:szCs w:val="20"/>
          <w:lang w:val="en-US"/>
        </w:rPr>
        <w:t>(512) 310-4908</w:t>
      </w:r>
    </w:p>
    <w:p w14:paraId="1480EB35" w14:textId="0AE31808" w:rsidR="00EC619D" w:rsidRPr="006562C9" w:rsidRDefault="00701931" w:rsidP="00EC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sz w:val="20"/>
          <w:szCs w:val="20"/>
          <w:lang w:val="en-US"/>
        </w:rPr>
      </w:pPr>
      <w:r w:rsidRPr="00322B77">
        <w:rPr>
          <w:rFonts w:eastAsia="Times New Roman"/>
          <w:sz w:val="20"/>
          <w:szCs w:val="20"/>
          <w:lang w:val="en-US"/>
        </w:rPr>
        <w:tab/>
      </w:r>
      <w:r w:rsidRPr="00322B77">
        <w:rPr>
          <w:rFonts w:eastAsia="Times New Roman"/>
          <w:sz w:val="20"/>
          <w:szCs w:val="20"/>
          <w:lang w:val="en-US"/>
        </w:rPr>
        <w:tab/>
      </w:r>
      <w:r w:rsidRPr="00322B77">
        <w:rPr>
          <w:rFonts w:eastAsia="Times New Roman"/>
          <w:sz w:val="20"/>
          <w:szCs w:val="20"/>
          <w:lang w:val="en-US"/>
        </w:rPr>
        <w:tab/>
      </w:r>
      <w:r w:rsidRPr="00322B77">
        <w:rPr>
          <w:rFonts w:eastAsia="Times New Roman"/>
          <w:sz w:val="20"/>
          <w:szCs w:val="20"/>
          <w:lang w:val="en-US"/>
        </w:rPr>
        <w:tab/>
      </w:r>
      <w:r w:rsidRPr="00322B77">
        <w:rPr>
          <w:rFonts w:eastAsia="Times New Roman"/>
          <w:sz w:val="20"/>
          <w:szCs w:val="20"/>
          <w:lang w:val="en-US"/>
        </w:rPr>
        <w:tab/>
      </w:r>
      <w:r w:rsidRPr="00322B77">
        <w:rPr>
          <w:rFonts w:eastAsia="Times New Roman"/>
          <w:sz w:val="20"/>
          <w:szCs w:val="20"/>
          <w:lang w:val="en-US"/>
        </w:rPr>
        <w:tab/>
      </w:r>
      <w:hyperlink r:id="rId10" w:history="1">
        <w:r w:rsidRPr="006562C9">
          <w:rPr>
            <w:rStyle w:val="Hyperlink"/>
            <w:rFonts w:eastAsia="Times New Roman"/>
            <w:sz w:val="20"/>
            <w:szCs w:val="20"/>
            <w:lang w:val="en-US"/>
          </w:rPr>
          <w:t>dchism@tssiusa.com</w:t>
        </w:r>
      </w:hyperlink>
    </w:p>
    <w:p w14:paraId="50000CA8" w14:textId="77777777" w:rsidR="00EC619D" w:rsidRPr="006562C9" w:rsidRDefault="00EC619D" w:rsidP="00EC6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sz w:val="20"/>
          <w:szCs w:val="20"/>
          <w:lang w:val="en-US"/>
        </w:rPr>
      </w:pPr>
    </w:p>
    <w:p w14:paraId="28CEBBBA" w14:textId="5642EEC3" w:rsidR="00403C3D" w:rsidRPr="00820511" w:rsidRDefault="00403C3D" w:rsidP="00EC619D">
      <w:pPr>
        <w:spacing w:before="100" w:after="100" w:line="240" w:lineRule="auto"/>
        <w:rPr>
          <w:sz w:val="20"/>
          <w:szCs w:val="20"/>
          <w:lang w:val="fr-FR"/>
        </w:rPr>
      </w:pPr>
      <w:r w:rsidRPr="00820511">
        <w:rPr>
          <w:rFonts w:eastAsia="Calibri"/>
          <w:b/>
          <w:sz w:val="20"/>
          <w:szCs w:val="20"/>
          <w:lang w:val="fr-FR"/>
        </w:rPr>
        <w:t>SOURCE: </w:t>
      </w:r>
      <w:r w:rsidR="00EC619D" w:rsidRPr="00820511">
        <w:rPr>
          <w:rFonts w:eastAsia="Times New Roman"/>
          <w:sz w:val="20"/>
          <w:szCs w:val="20"/>
          <w:lang w:val="fr-FR"/>
        </w:rPr>
        <w:t>TSS, Inc.</w:t>
      </w:r>
    </w:p>
    <w:sectPr w:rsidR="00403C3D" w:rsidRPr="008205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C3D"/>
    <w:rsid w:val="00003FCC"/>
    <w:rsid w:val="00013CB2"/>
    <w:rsid w:val="00061706"/>
    <w:rsid w:val="000660C7"/>
    <w:rsid w:val="00075295"/>
    <w:rsid w:val="00093EF4"/>
    <w:rsid w:val="000B79B8"/>
    <w:rsid w:val="000D6DD1"/>
    <w:rsid w:val="000E07B7"/>
    <w:rsid w:val="000E6718"/>
    <w:rsid w:val="00101EE4"/>
    <w:rsid w:val="001167FF"/>
    <w:rsid w:val="00120713"/>
    <w:rsid w:val="00144C88"/>
    <w:rsid w:val="001748C8"/>
    <w:rsid w:val="001B27F0"/>
    <w:rsid w:val="001D6F31"/>
    <w:rsid w:val="001F18BB"/>
    <w:rsid w:val="00224895"/>
    <w:rsid w:val="00231DC1"/>
    <w:rsid w:val="0023778A"/>
    <w:rsid w:val="00241F75"/>
    <w:rsid w:val="002A12DA"/>
    <w:rsid w:val="002A4057"/>
    <w:rsid w:val="002E1405"/>
    <w:rsid w:val="002E3CFC"/>
    <w:rsid w:val="002E3D82"/>
    <w:rsid w:val="002E6935"/>
    <w:rsid w:val="0030752B"/>
    <w:rsid w:val="00322B77"/>
    <w:rsid w:val="00334135"/>
    <w:rsid w:val="00357C49"/>
    <w:rsid w:val="00360A3D"/>
    <w:rsid w:val="00364F68"/>
    <w:rsid w:val="003C7F5C"/>
    <w:rsid w:val="003E16E7"/>
    <w:rsid w:val="003F1BB3"/>
    <w:rsid w:val="003F31A9"/>
    <w:rsid w:val="003F65BF"/>
    <w:rsid w:val="00403C3D"/>
    <w:rsid w:val="0042013B"/>
    <w:rsid w:val="0043743D"/>
    <w:rsid w:val="00446FF6"/>
    <w:rsid w:val="004B52B3"/>
    <w:rsid w:val="004D1C58"/>
    <w:rsid w:val="004D4089"/>
    <w:rsid w:val="00551D9D"/>
    <w:rsid w:val="00561B6F"/>
    <w:rsid w:val="005678B8"/>
    <w:rsid w:val="00591200"/>
    <w:rsid w:val="005B6639"/>
    <w:rsid w:val="005C15A9"/>
    <w:rsid w:val="005D71C8"/>
    <w:rsid w:val="00616197"/>
    <w:rsid w:val="006401B4"/>
    <w:rsid w:val="006562C9"/>
    <w:rsid w:val="00661AA4"/>
    <w:rsid w:val="006624A8"/>
    <w:rsid w:val="0066328A"/>
    <w:rsid w:val="006A002F"/>
    <w:rsid w:val="006A1B2C"/>
    <w:rsid w:val="006B6A6E"/>
    <w:rsid w:val="006B7229"/>
    <w:rsid w:val="006F2BD0"/>
    <w:rsid w:val="00701931"/>
    <w:rsid w:val="007274C9"/>
    <w:rsid w:val="0077483A"/>
    <w:rsid w:val="00782ACF"/>
    <w:rsid w:val="007A26D2"/>
    <w:rsid w:val="007C4E8D"/>
    <w:rsid w:val="007E1F5B"/>
    <w:rsid w:val="007F161F"/>
    <w:rsid w:val="00820511"/>
    <w:rsid w:val="00827305"/>
    <w:rsid w:val="00877DEC"/>
    <w:rsid w:val="008811FF"/>
    <w:rsid w:val="008929FD"/>
    <w:rsid w:val="008B706B"/>
    <w:rsid w:val="008C7725"/>
    <w:rsid w:val="008D0F9A"/>
    <w:rsid w:val="008F662E"/>
    <w:rsid w:val="0091733B"/>
    <w:rsid w:val="0092011A"/>
    <w:rsid w:val="00941655"/>
    <w:rsid w:val="0094637D"/>
    <w:rsid w:val="00971C5D"/>
    <w:rsid w:val="00991381"/>
    <w:rsid w:val="009F570C"/>
    <w:rsid w:val="00A010C0"/>
    <w:rsid w:val="00A12E03"/>
    <w:rsid w:val="00A13D00"/>
    <w:rsid w:val="00A25C94"/>
    <w:rsid w:val="00A26AAB"/>
    <w:rsid w:val="00A57005"/>
    <w:rsid w:val="00A63C7B"/>
    <w:rsid w:val="00A80F11"/>
    <w:rsid w:val="00A90117"/>
    <w:rsid w:val="00A95958"/>
    <w:rsid w:val="00AC7311"/>
    <w:rsid w:val="00B31E5C"/>
    <w:rsid w:val="00B44F04"/>
    <w:rsid w:val="00B553D8"/>
    <w:rsid w:val="00B85D61"/>
    <w:rsid w:val="00BA0457"/>
    <w:rsid w:val="00BA61A1"/>
    <w:rsid w:val="00BC087D"/>
    <w:rsid w:val="00C0346F"/>
    <w:rsid w:val="00C04100"/>
    <w:rsid w:val="00C064D8"/>
    <w:rsid w:val="00C341AC"/>
    <w:rsid w:val="00C628C5"/>
    <w:rsid w:val="00C73389"/>
    <w:rsid w:val="00C75AD1"/>
    <w:rsid w:val="00C82CC4"/>
    <w:rsid w:val="00C82DC6"/>
    <w:rsid w:val="00C9044F"/>
    <w:rsid w:val="00C92477"/>
    <w:rsid w:val="00C93E5B"/>
    <w:rsid w:val="00CB0471"/>
    <w:rsid w:val="00CB2F17"/>
    <w:rsid w:val="00CB46D9"/>
    <w:rsid w:val="00CC3056"/>
    <w:rsid w:val="00D069D8"/>
    <w:rsid w:val="00D17970"/>
    <w:rsid w:val="00D63CD5"/>
    <w:rsid w:val="00D66199"/>
    <w:rsid w:val="00D72FB4"/>
    <w:rsid w:val="00D87A32"/>
    <w:rsid w:val="00DC06AF"/>
    <w:rsid w:val="00DE3C91"/>
    <w:rsid w:val="00DF1CF6"/>
    <w:rsid w:val="00E410B7"/>
    <w:rsid w:val="00E477BA"/>
    <w:rsid w:val="00E64C52"/>
    <w:rsid w:val="00E83291"/>
    <w:rsid w:val="00E836F9"/>
    <w:rsid w:val="00E923BA"/>
    <w:rsid w:val="00E9636B"/>
    <w:rsid w:val="00EB31D1"/>
    <w:rsid w:val="00EC5150"/>
    <w:rsid w:val="00EC619D"/>
    <w:rsid w:val="00EE3E56"/>
    <w:rsid w:val="00F45530"/>
    <w:rsid w:val="00F509B3"/>
    <w:rsid w:val="00F54D15"/>
    <w:rsid w:val="00F838F6"/>
    <w:rsid w:val="00FB1395"/>
    <w:rsid w:val="00FB38BD"/>
    <w:rsid w:val="00FD2FEE"/>
    <w:rsid w:val="00FE4BF9"/>
    <w:rsid w:val="3587E855"/>
    <w:rsid w:val="7EB587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EE4C5"/>
  <w15:docId w15:val="{7D1C7894-3480-40F0-BC79-C6E5B5524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3C3D"/>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403C3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403C3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403C3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403C3D"/>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403C3D"/>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403C3D"/>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403C3D"/>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403C3D"/>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403C3D"/>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3C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3C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3C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3C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3C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3C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3C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3C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3C3D"/>
    <w:rPr>
      <w:rFonts w:eastAsiaTheme="majorEastAsia" w:cstheme="majorBidi"/>
      <w:color w:val="272727" w:themeColor="text1" w:themeTint="D8"/>
    </w:rPr>
  </w:style>
  <w:style w:type="paragraph" w:styleId="Title">
    <w:name w:val="Title"/>
    <w:basedOn w:val="Normal"/>
    <w:next w:val="Normal"/>
    <w:link w:val="TitleChar"/>
    <w:uiPriority w:val="10"/>
    <w:qFormat/>
    <w:rsid w:val="00403C3D"/>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403C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3C3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403C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3C3D"/>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403C3D"/>
    <w:rPr>
      <w:i/>
      <w:iCs/>
      <w:color w:val="404040" w:themeColor="text1" w:themeTint="BF"/>
    </w:rPr>
  </w:style>
  <w:style w:type="paragraph" w:styleId="ListParagraph">
    <w:name w:val="List Paragraph"/>
    <w:basedOn w:val="Normal"/>
    <w:uiPriority w:val="34"/>
    <w:qFormat/>
    <w:rsid w:val="00403C3D"/>
    <w:pPr>
      <w:spacing w:after="160"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403C3D"/>
    <w:rPr>
      <w:i/>
      <w:iCs/>
      <w:color w:val="0F4761" w:themeColor="accent1" w:themeShade="BF"/>
    </w:rPr>
  </w:style>
  <w:style w:type="paragraph" w:styleId="IntenseQuote">
    <w:name w:val="Intense Quote"/>
    <w:basedOn w:val="Normal"/>
    <w:next w:val="Normal"/>
    <w:link w:val="IntenseQuoteChar"/>
    <w:uiPriority w:val="30"/>
    <w:qFormat/>
    <w:rsid w:val="00403C3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403C3D"/>
    <w:rPr>
      <w:i/>
      <w:iCs/>
      <w:color w:val="0F4761" w:themeColor="accent1" w:themeShade="BF"/>
    </w:rPr>
  </w:style>
  <w:style w:type="character" w:styleId="IntenseReference">
    <w:name w:val="Intense Reference"/>
    <w:basedOn w:val="DefaultParagraphFont"/>
    <w:uiPriority w:val="32"/>
    <w:qFormat/>
    <w:rsid w:val="00403C3D"/>
    <w:rPr>
      <w:b/>
      <w:bCs/>
      <w:smallCaps/>
      <w:color w:val="0F4761" w:themeColor="accent1" w:themeShade="BF"/>
      <w:spacing w:val="5"/>
    </w:rPr>
  </w:style>
  <w:style w:type="character" w:styleId="Strong">
    <w:name w:val="Strong"/>
    <w:basedOn w:val="DefaultParagraphFont"/>
    <w:uiPriority w:val="22"/>
    <w:qFormat/>
    <w:rsid w:val="00EC619D"/>
    <w:rPr>
      <w:b/>
      <w:bCs/>
    </w:rPr>
  </w:style>
  <w:style w:type="character" w:styleId="Hyperlink">
    <w:name w:val="Hyperlink"/>
    <w:basedOn w:val="DefaultParagraphFont"/>
    <w:uiPriority w:val="99"/>
    <w:unhideWhenUsed/>
    <w:rsid w:val="00EC619D"/>
    <w:rPr>
      <w:color w:val="467886" w:themeColor="hyperlink"/>
      <w:u w:val="single"/>
    </w:rPr>
  </w:style>
  <w:style w:type="character" w:styleId="FollowedHyperlink">
    <w:name w:val="FollowedHyperlink"/>
    <w:basedOn w:val="DefaultParagraphFont"/>
    <w:uiPriority w:val="99"/>
    <w:semiHidden/>
    <w:unhideWhenUsed/>
    <w:rsid w:val="00EC619D"/>
    <w:rPr>
      <w:color w:val="96607D" w:themeColor="followedHyperlink"/>
      <w:u w:val="single"/>
    </w:rPr>
  </w:style>
  <w:style w:type="character" w:customStyle="1" w:styleId="UnresolvedMention1">
    <w:name w:val="Unresolved Mention1"/>
    <w:basedOn w:val="DefaultParagraphFont"/>
    <w:uiPriority w:val="99"/>
    <w:semiHidden/>
    <w:unhideWhenUsed/>
    <w:rsid w:val="0023778A"/>
    <w:rPr>
      <w:color w:val="605E5C"/>
      <w:shd w:val="clear" w:color="auto" w:fill="E1DFDD"/>
    </w:rPr>
  </w:style>
  <w:style w:type="paragraph" w:styleId="Revision">
    <w:name w:val="Revision"/>
    <w:hidden/>
    <w:uiPriority w:val="99"/>
    <w:semiHidden/>
    <w:rsid w:val="00C341AC"/>
    <w:pPr>
      <w:spacing w:after="0" w:line="240" w:lineRule="auto"/>
    </w:pPr>
    <w:rPr>
      <w:rFonts w:ascii="Arial" w:eastAsia="Arial" w:hAnsi="Arial" w:cs="Arial"/>
      <w:kern w:val="0"/>
      <w:sz w:val="22"/>
      <w:szCs w:val="22"/>
      <w:lang w:val="en"/>
      <w14:ligatures w14:val="none"/>
    </w:rPr>
  </w:style>
  <w:style w:type="paragraph" w:styleId="BalloonText">
    <w:name w:val="Balloon Text"/>
    <w:basedOn w:val="Normal"/>
    <w:link w:val="BalloonTextChar"/>
    <w:uiPriority w:val="99"/>
    <w:semiHidden/>
    <w:unhideWhenUsed/>
    <w:rsid w:val="00E410B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10B7"/>
    <w:rPr>
      <w:rFonts w:ascii="Tahoma" w:eastAsia="Arial" w:hAnsi="Tahoma" w:cs="Tahoma"/>
      <w:kern w:val="0"/>
      <w:sz w:val="16"/>
      <w:szCs w:val="16"/>
      <w:lang w:val="en"/>
      <w14:ligatures w14:val="none"/>
    </w:rPr>
  </w:style>
  <w:style w:type="character" w:styleId="CommentReference">
    <w:name w:val="annotation reference"/>
    <w:basedOn w:val="DefaultParagraphFont"/>
    <w:uiPriority w:val="99"/>
    <w:semiHidden/>
    <w:unhideWhenUsed/>
    <w:rsid w:val="00CB0471"/>
    <w:rPr>
      <w:sz w:val="16"/>
      <w:szCs w:val="16"/>
    </w:rPr>
  </w:style>
  <w:style w:type="paragraph" w:styleId="CommentText">
    <w:name w:val="annotation text"/>
    <w:basedOn w:val="Normal"/>
    <w:link w:val="CommentTextChar"/>
    <w:uiPriority w:val="99"/>
    <w:unhideWhenUsed/>
    <w:rsid w:val="00CB0471"/>
    <w:pPr>
      <w:spacing w:line="240" w:lineRule="auto"/>
    </w:pPr>
    <w:rPr>
      <w:sz w:val="20"/>
      <w:szCs w:val="20"/>
    </w:rPr>
  </w:style>
  <w:style w:type="character" w:customStyle="1" w:styleId="CommentTextChar">
    <w:name w:val="Comment Text Char"/>
    <w:basedOn w:val="DefaultParagraphFont"/>
    <w:link w:val="CommentText"/>
    <w:uiPriority w:val="99"/>
    <w:rsid w:val="00CB0471"/>
    <w:rPr>
      <w:rFonts w:ascii="Arial" w:eastAsia="Arial" w:hAnsi="Arial" w:cs="Arial"/>
      <w:kern w:val="0"/>
      <w:sz w:val="20"/>
      <w:szCs w:val="20"/>
      <w:lang w:val="en"/>
      <w14:ligatures w14:val="none"/>
    </w:rPr>
  </w:style>
  <w:style w:type="paragraph" w:styleId="CommentSubject">
    <w:name w:val="annotation subject"/>
    <w:basedOn w:val="CommentText"/>
    <w:next w:val="CommentText"/>
    <w:link w:val="CommentSubjectChar"/>
    <w:uiPriority w:val="99"/>
    <w:semiHidden/>
    <w:unhideWhenUsed/>
    <w:rsid w:val="00CB0471"/>
    <w:rPr>
      <w:b/>
      <w:bCs/>
    </w:rPr>
  </w:style>
  <w:style w:type="character" w:customStyle="1" w:styleId="CommentSubjectChar">
    <w:name w:val="Comment Subject Char"/>
    <w:basedOn w:val="CommentTextChar"/>
    <w:link w:val="CommentSubject"/>
    <w:uiPriority w:val="99"/>
    <w:semiHidden/>
    <w:rsid w:val="00CB0471"/>
    <w:rPr>
      <w:rFonts w:ascii="Arial" w:eastAsia="Arial" w:hAnsi="Arial" w:cs="Arial"/>
      <w:b/>
      <w:bCs/>
      <w:kern w:val="0"/>
      <w:sz w:val="20"/>
      <w:szCs w:val="20"/>
      <w:lang w:val="en"/>
      <w14:ligatures w14:val="none"/>
    </w:rPr>
  </w:style>
  <w:style w:type="character" w:styleId="UnresolvedMention">
    <w:name w:val="Unresolved Mention"/>
    <w:basedOn w:val="DefaultParagraphFont"/>
    <w:uiPriority w:val="99"/>
    <w:semiHidden/>
    <w:unhideWhenUsed/>
    <w:rsid w:val="00A26A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4271854">
      <w:bodyDiv w:val="1"/>
      <w:marLeft w:val="0"/>
      <w:marRight w:val="0"/>
      <w:marTop w:val="0"/>
      <w:marBottom w:val="0"/>
      <w:divBdr>
        <w:top w:val="none" w:sz="0" w:space="0" w:color="auto"/>
        <w:left w:val="none" w:sz="0" w:space="0" w:color="auto"/>
        <w:bottom w:val="none" w:sz="0" w:space="0" w:color="auto"/>
        <w:right w:val="none" w:sz="0" w:space="0" w:color="auto"/>
      </w:divBdr>
    </w:div>
    <w:div w:id="220749162">
      <w:bodyDiv w:val="1"/>
      <w:marLeft w:val="0"/>
      <w:marRight w:val="0"/>
      <w:marTop w:val="0"/>
      <w:marBottom w:val="0"/>
      <w:divBdr>
        <w:top w:val="none" w:sz="0" w:space="0" w:color="auto"/>
        <w:left w:val="none" w:sz="0" w:space="0" w:color="auto"/>
        <w:bottom w:val="none" w:sz="0" w:space="0" w:color="auto"/>
        <w:right w:val="none" w:sz="0" w:space="0" w:color="auto"/>
      </w:divBdr>
    </w:div>
    <w:div w:id="367682716">
      <w:bodyDiv w:val="1"/>
      <w:marLeft w:val="0"/>
      <w:marRight w:val="0"/>
      <w:marTop w:val="0"/>
      <w:marBottom w:val="0"/>
      <w:divBdr>
        <w:top w:val="none" w:sz="0" w:space="0" w:color="auto"/>
        <w:left w:val="none" w:sz="0" w:space="0" w:color="auto"/>
        <w:bottom w:val="none" w:sz="0" w:space="0" w:color="auto"/>
        <w:right w:val="none" w:sz="0" w:space="0" w:color="auto"/>
      </w:divBdr>
    </w:div>
    <w:div w:id="417100431">
      <w:bodyDiv w:val="1"/>
      <w:marLeft w:val="0"/>
      <w:marRight w:val="0"/>
      <w:marTop w:val="0"/>
      <w:marBottom w:val="0"/>
      <w:divBdr>
        <w:top w:val="none" w:sz="0" w:space="0" w:color="auto"/>
        <w:left w:val="none" w:sz="0" w:space="0" w:color="auto"/>
        <w:bottom w:val="none" w:sz="0" w:space="0" w:color="auto"/>
        <w:right w:val="none" w:sz="0" w:space="0" w:color="auto"/>
      </w:divBdr>
    </w:div>
    <w:div w:id="452941057">
      <w:bodyDiv w:val="1"/>
      <w:marLeft w:val="0"/>
      <w:marRight w:val="0"/>
      <w:marTop w:val="0"/>
      <w:marBottom w:val="0"/>
      <w:divBdr>
        <w:top w:val="none" w:sz="0" w:space="0" w:color="auto"/>
        <w:left w:val="none" w:sz="0" w:space="0" w:color="auto"/>
        <w:bottom w:val="none" w:sz="0" w:space="0" w:color="auto"/>
        <w:right w:val="none" w:sz="0" w:space="0" w:color="auto"/>
      </w:divBdr>
    </w:div>
    <w:div w:id="609437512">
      <w:bodyDiv w:val="1"/>
      <w:marLeft w:val="0"/>
      <w:marRight w:val="0"/>
      <w:marTop w:val="0"/>
      <w:marBottom w:val="0"/>
      <w:divBdr>
        <w:top w:val="none" w:sz="0" w:space="0" w:color="auto"/>
        <w:left w:val="none" w:sz="0" w:space="0" w:color="auto"/>
        <w:bottom w:val="none" w:sz="0" w:space="0" w:color="auto"/>
        <w:right w:val="none" w:sz="0" w:space="0" w:color="auto"/>
      </w:divBdr>
    </w:div>
    <w:div w:id="771896958">
      <w:bodyDiv w:val="1"/>
      <w:marLeft w:val="0"/>
      <w:marRight w:val="0"/>
      <w:marTop w:val="0"/>
      <w:marBottom w:val="0"/>
      <w:divBdr>
        <w:top w:val="none" w:sz="0" w:space="0" w:color="auto"/>
        <w:left w:val="none" w:sz="0" w:space="0" w:color="auto"/>
        <w:bottom w:val="none" w:sz="0" w:space="0" w:color="auto"/>
        <w:right w:val="none" w:sz="0" w:space="0" w:color="auto"/>
      </w:divBdr>
    </w:div>
    <w:div w:id="963385727">
      <w:bodyDiv w:val="1"/>
      <w:marLeft w:val="0"/>
      <w:marRight w:val="0"/>
      <w:marTop w:val="0"/>
      <w:marBottom w:val="0"/>
      <w:divBdr>
        <w:top w:val="none" w:sz="0" w:space="0" w:color="auto"/>
        <w:left w:val="none" w:sz="0" w:space="0" w:color="auto"/>
        <w:bottom w:val="none" w:sz="0" w:space="0" w:color="auto"/>
        <w:right w:val="none" w:sz="0" w:space="0" w:color="auto"/>
      </w:divBdr>
    </w:div>
    <w:div w:id="1093278210">
      <w:bodyDiv w:val="1"/>
      <w:marLeft w:val="0"/>
      <w:marRight w:val="0"/>
      <w:marTop w:val="0"/>
      <w:marBottom w:val="0"/>
      <w:divBdr>
        <w:top w:val="none" w:sz="0" w:space="0" w:color="auto"/>
        <w:left w:val="none" w:sz="0" w:space="0" w:color="auto"/>
        <w:bottom w:val="none" w:sz="0" w:space="0" w:color="auto"/>
        <w:right w:val="none" w:sz="0" w:space="0" w:color="auto"/>
      </w:divBdr>
    </w:div>
    <w:div w:id="1127120791">
      <w:bodyDiv w:val="1"/>
      <w:marLeft w:val="0"/>
      <w:marRight w:val="0"/>
      <w:marTop w:val="0"/>
      <w:marBottom w:val="0"/>
      <w:divBdr>
        <w:top w:val="none" w:sz="0" w:space="0" w:color="auto"/>
        <w:left w:val="none" w:sz="0" w:space="0" w:color="auto"/>
        <w:bottom w:val="none" w:sz="0" w:space="0" w:color="auto"/>
        <w:right w:val="none" w:sz="0" w:space="0" w:color="auto"/>
      </w:divBdr>
    </w:div>
    <w:div w:id="1546407331">
      <w:bodyDiv w:val="1"/>
      <w:marLeft w:val="0"/>
      <w:marRight w:val="0"/>
      <w:marTop w:val="0"/>
      <w:marBottom w:val="0"/>
      <w:divBdr>
        <w:top w:val="none" w:sz="0" w:space="0" w:color="auto"/>
        <w:left w:val="none" w:sz="0" w:space="0" w:color="auto"/>
        <w:bottom w:val="none" w:sz="0" w:space="0" w:color="auto"/>
        <w:right w:val="none" w:sz="0" w:space="0" w:color="auto"/>
      </w:divBdr>
    </w:div>
    <w:div w:id="1573857881">
      <w:bodyDiv w:val="1"/>
      <w:marLeft w:val="0"/>
      <w:marRight w:val="0"/>
      <w:marTop w:val="0"/>
      <w:marBottom w:val="0"/>
      <w:divBdr>
        <w:top w:val="none" w:sz="0" w:space="0" w:color="auto"/>
        <w:left w:val="none" w:sz="0" w:space="0" w:color="auto"/>
        <w:bottom w:val="none" w:sz="0" w:space="0" w:color="auto"/>
        <w:right w:val="none" w:sz="0" w:space="0" w:color="auto"/>
      </w:divBdr>
    </w:div>
    <w:div w:id="1909922801">
      <w:bodyDiv w:val="1"/>
      <w:marLeft w:val="0"/>
      <w:marRight w:val="0"/>
      <w:marTop w:val="0"/>
      <w:marBottom w:val="0"/>
      <w:divBdr>
        <w:top w:val="none" w:sz="0" w:space="0" w:color="auto"/>
        <w:left w:val="none" w:sz="0" w:space="0" w:color="auto"/>
        <w:bottom w:val="none" w:sz="0" w:space="0" w:color="auto"/>
        <w:right w:val="none" w:sz="0" w:space="0" w:color="auto"/>
      </w:divBdr>
    </w:div>
    <w:div w:id="1965499086">
      <w:bodyDiv w:val="1"/>
      <w:marLeft w:val="0"/>
      <w:marRight w:val="0"/>
      <w:marTop w:val="0"/>
      <w:marBottom w:val="0"/>
      <w:divBdr>
        <w:top w:val="none" w:sz="0" w:space="0" w:color="auto"/>
        <w:left w:val="none" w:sz="0" w:space="0" w:color="auto"/>
        <w:bottom w:val="none" w:sz="0" w:space="0" w:color="auto"/>
        <w:right w:val="none" w:sz="0" w:space="0" w:color="auto"/>
      </w:divBdr>
    </w:div>
    <w:div w:id="2063291071">
      <w:bodyDiv w:val="1"/>
      <w:marLeft w:val="0"/>
      <w:marRight w:val="0"/>
      <w:marTop w:val="0"/>
      <w:marBottom w:val="0"/>
      <w:divBdr>
        <w:top w:val="none" w:sz="0" w:space="0" w:color="auto"/>
        <w:left w:val="none" w:sz="0" w:space="0" w:color="auto"/>
        <w:bottom w:val="none" w:sz="0" w:space="0" w:color="auto"/>
        <w:right w:val="none" w:sz="0" w:space="0" w:color="auto"/>
      </w:divBdr>
    </w:div>
    <w:div w:id="2129201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lobenewswire.com/Tracker?data=aJBGL0w-SFen0vC_dhjzx7C42l_1aJE4OEUBEDxe8vsUDRhqlm9G8jvJaR9et0tyCw69WyuqKYqqAkqTgzIiTw==" TargetMode="External"/><Relationship Id="rId3" Type="http://schemas.openxmlformats.org/officeDocument/2006/relationships/customXml" Target="../customXml/item3.xml"/><Relationship Id="rId7" Type="http://schemas.openxmlformats.org/officeDocument/2006/relationships/hyperlink" Target="https://www.nasdaq.com/marketsite/bell-ringing-ceremony" TargetMode="Externa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dchism@tssiusa.com" TargetMode="External"/><Relationship Id="rId4" Type="http://schemas.openxmlformats.org/officeDocument/2006/relationships/styles" Target="styles.xml"/><Relationship Id="rId9" Type="http://schemas.openxmlformats.org/officeDocument/2006/relationships/hyperlink" Target="mailto:tssi@haydeni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f2e3dc5-9b0e-449a-a5b3-52c6b29c49bb">
      <Terms xmlns="http://schemas.microsoft.com/office/infopath/2007/PartnerControls"/>
    </lcf76f155ced4ddcb4097134ff3c332f>
    <TaxCatchAll xmlns="ae2462b0-4436-4d4c-8339-708a9abd795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6BF319A85CAD74EA3F5F23946BE824D" ma:contentTypeVersion="19" ma:contentTypeDescription="Create a new document." ma:contentTypeScope="" ma:versionID="fd3d55424902a4956668cd2f8799bb0e">
  <xsd:schema xmlns:xsd="http://www.w3.org/2001/XMLSchema" xmlns:xs="http://www.w3.org/2001/XMLSchema" xmlns:p="http://schemas.microsoft.com/office/2006/metadata/properties" xmlns:ns2="ae2462b0-4436-4d4c-8339-708a9abd7959" xmlns:ns3="4f2e3dc5-9b0e-449a-a5b3-52c6b29c49bb" targetNamespace="http://schemas.microsoft.com/office/2006/metadata/properties" ma:root="true" ma:fieldsID="cf26ca0a39f8db5b35e9082bfd249da8" ns2:_="" ns3:_="">
    <xsd:import namespace="ae2462b0-4436-4d4c-8339-708a9abd7959"/>
    <xsd:import namespace="4f2e3dc5-9b0e-449a-a5b3-52c6b29c49bb"/>
    <xsd:element name="properties">
      <xsd:complexType>
        <xsd:sequence>
          <xsd:element name="documentManagement">
            <xsd:complexType>
              <xsd:all>
                <xsd:element ref="ns2:SharedWithUsers" minOccurs="0"/>
                <xsd:element ref="ns2:SharingHintHash"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2462b0-4436-4d4c-8339-708a9abd795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element name="TaxCatchAll" ma:index="24" nillable="true" ma:displayName="Taxonomy Catch All Column" ma:hidden="true" ma:list="{da86fd84-f48d-48c7-a0f2-01122a77f5ac}" ma:internalName="TaxCatchAll" ma:showField="CatchAllData" ma:web="ae2462b0-4436-4d4c-8339-708a9abd795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2e3dc5-9b0e-449a-a5b3-52c6b29c49bb"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MediaServiceAutoTags" ma:internalName="MediaServiceAutoTags"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26880e5-65fc-4be2-806c-1d5aa4ed11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A72AE8-3136-4321-A282-806E7E2C3362}">
  <ds:schemaRefs>
    <ds:schemaRef ds:uri="http://schemas.microsoft.com/office/2006/metadata/properties"/>
    <ds:schemaRef ds:uri="http://schemas.microsoft.com/office/infopath/2007/PartnerControls"/>
    <ds:schemaRef ds:uri="4f2e3dc5-9b0e-449a-a5b3-52c6b29c49bb"/>
    <ds:schemaRef ds:uri="ae2462b0-4436-4d4c-8339-708a9abd7959"/>
  </ds:schemaRefs>
</ds:datastoreItem>
</file>

<file path=customXml/itemProps2.xml><?xml version="1.0" encoding="utf-8"?>
<ds:datastoreItem xmlns:ds="http://schemas.openxmlformats.org/officeDocument/2006/customXml" ds:itemID="{F6B21CEA-3CF5-4B52-B16F-9829AEB76B8F}">
  <ds:schemaRefs>
    <ds:schemaRef ds:uri="http://schemas.microsoft.com/sharepoint/v3/contenttype/forms"/>
  </ds:schemaRefs>
</ds:datastoreItem>
</file>

<file path=customXml/itemProps3.xml><?xml version="1.0" encoding="utf-8"?>
<ds:datastoreItem xmlns:ds="http://schemas.openxmlformats.org/officeDocument/2006/customXml" ds:itemID="{68F9FF4F-E493-4697-91D0-4DC8A7752B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2462b0-4436-4d4c-8339-708a9abd7959"/>
    <ds:schemaRef ds:uri="4f2e3dc5-9b0e-449a-a5b3-52c6b29c49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769</Words>
  <Characters>4386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Meredith</dc:creator>
  <cp:keywords/>
  <dc:description/>
  <cp:lastModifiedBy>Danny Chism</cp:lastModifiedBy>
  <cp:revision>4</cp:revision>
  <cp:lastPrinted>2024-10-03T23:43:00Z</cp:lastPrinted>
  <dcterms:created xsi:type="dcterms:W3CDTF">2025-01-22T21:51:00Z</dcterms:created>
  <dcterms:modified xsi:type="dcterms:W3CDTF">2025-01-22T21:53:00Z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0x010100B6BF319A85CAD74EA3F5F23946BE824D</vt:lpwstr>
  </property>
  <property fmtid="{D5CDD505-2E9C-101B-9397-08002B2CF9AE}" pid="3" name="MediaServiceImageTags">
    <vt:lpwstr/>
  </property>
</Properties>
</file>