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4BBC6" w14:textId="6286C370" w:rsidR="00D65863" w:rsidRPr="004906F8" w:rsidRDefault="004906F8">
      <w:pPr>
        <w:rPr>
          <w:rFonts w:ascii="Cambria" w:hAnsi="Cambria" w:cs="Cambria"/>
        </w:rPr>
      </w:pPr>
      <w:r>
        <w:rPr>
          <w:rFonts w:hint="eastAsia"/>
        </w:rPr>
        <w:t>BluWave-ai、特許件数を順調に拡大</w:t>
      </w:r>
      <w:r>
        <w:t xml:space="preserve"> </w:t>
      </w:r>
      <w:r>
        <w:rPr>
          <w:rFonts w:ascii="Times New Roman" w:hAnsi="Times New Roman" w:cs="Times New Roman"/>
        </w:rPr>
        <w:t>–</w:t>
      </w:r>
      <w:r>
        <w:rPr>
          <w:rFonts w:ascii="Apple Color Emoji" w:hAnsi="Apple Color Emoji" w:cs="Apple Color Emoji" w:hint="eastAsia"/>
        </w:rPr>
        <w:t xml:space="preserve"> </w:t>
      </w:r>
      <w:r>
        <w:rPr>
          <w:rFonts w:ascii="Cambria" w:hAnsi="Cambria" w:cs="Cambria" w:hint="eastAsia"/>
        </w:rPr>
        <w:t>米国特許商標庁に出願済みの特許件数が</w:t>
      </w:r>
      <w:r>
        <w:rPr>
          <w:rFonts w:ascii="Cambria" w:hAnsi="Cambria" w:cs="Cambria" w:hint="eastAsia"/>
        </w:rPr>
        <w:t>30</w:t>
      </w:r>
      <w:r>
        <w:rPr>
          <w:rFonts w:ascii="Cambria" w:hAnsi="Cambria" w:cs="Cambria" w:hint="eastAsia"/>
        </w:rPr>
        <w:t>件に達する、既に</w:t>
      </w:r>
      <w:r>
        <w:rPr>
          <w:rFonts w:ascii="Cambria" w:hAnsi="Cambria" w:cs="Cambria" w:hint="eastAsia"/>
        </w:rPr>
        <w:t>7</w:t>
      </w:r>
      <w:r>
        <w:rPr>
          <w:rFonts w:ascii="Cambria" w:hAnsi="Cambria" w:cs="Cambria" w:hint="eastAsia"/>
        </w:rPr>
        <w:t>件は特許権を獲得</w:t>
      </w:r>
    </w:p>
    <w:p w14:paraId="42D76D56" w14:textId="77777777" w:rsidR="00C42F72" w:rsidRDefault="00C42F72"/>
    <w:p w14:paraId="72A08A58" w14:textId="46C07B9E" w:rsidR="004906F8" w:rsidRPr="004906F8" w:rsidRDefault="004906F8">
      <w:r>
        <w:rPr>
          <w:rFonts w:hint="eastAsia"/>
        </w:rPr>
        <w:t>電力需要の増加に対応するための北米の送電網の拡充を実現するプラットフォームを確立</w:t>
      </w:r>
    </w:p>
    <w:p w14:paraId="0141D168" w14:textId="77777777" w:rsidR="004906F8" w:rsidRDefault="004906F8"/>
    <w:p w14:paraId="761CB31D" w14:textId="232E3B6D" w:rsidR="004906F8" w:rsidRDefault="004906F8">
      <w:r>
        <w:rPr>
          <w:rFonts w:hint="eastAsia"/>
        </w:rPr>
        <w:t>BluWave-ai　　2024年10月</w:t>
      </w:r>
      <w:r w:rsidR="00F67E6B">
        <w:t>7</w:t>
      </w:r>
      <w:r>
        <w:rPr>
          <w:rFonts w:hint="eastAsia"/>
        </w:rPr>
        <w:t>日</w:t>
      </w:r>
    </w:p>
    <w:p w14:paraId="00714AEB" w14:textId="77777777" w:rsidR="004906F8" w:rsidRDefault="004906F8"/>
    <w:p w14:paraId="7DA5C249" w14:textId="77777777" w:rsidR="004906F8" w:rsidRDefault="004906F8"/>
    <w:p w14:paraId="2AD12921" w14:textId="67049A0B" w:rsidR="00C42F72" w:rsidRDefault="004906F8">
      <w:r>
        <w:rPr>
          <w:rFonts w:hint="eastAsia"/>
        </w:rPr>
        <w:t>BluWave-ai</w:t>
      </w:r>
      <w:r w:rsidR="00C42F72">
        <w:rPr>
          <w:rFonts w:hint="eastAsia"/>
        </w:rPr>
        <w:t>社（本社：カナダ、オタワ市、社長：</w:t>
      </w:r>
      <w:r>
        <w:rPr>
          <w:rFonts w:hint="eastAsia"/>
        </w:rPr>
        <w:t>デヴァシッシ</w:t>
      </w:r>
      <w:r w:rsidR="00C42F72">
        <w:rPr>
          <w:rFonts w:hint="eastAsia"/>
        </w:rPr>
        <w:t>・ポール</w:t>
      </w:r>
      <w:r>
        <w:rPr>
          <w:rFonts w:hint="eastAsia"/>
        </w:rPr>
        <w:t>、読み：ブルーウェイブ・エイアイ</w:t>
      </w:r>
      <w:r w:rsidR="00C42F72">
        <w:rPr>
          <w:rFonts w:hint="eastAsia"/>
        </w:rPr>
        <w:t>）は、米国特許</w:t>
      </w:r>
      <w:r>
        <w:rPr>
          <w:rFonts w:hint="eastAsia"/>
        </w:rPr>
        <w:t>商標</w:t>
      </w:r>
      <w:r w:rsidR="00C42F72">
        <w:rPr>
          <w:rFonts w:hint="eastAsia"/>
        </w:rPr>
        <w:t>庁に</w:t>
      </w:r>
      <w:r>
        <w:rPr>
          <w:rFonts w:hint="eastAsia"/>
        </w:rPr>
        <w:t>出願</w:t>
      </w:r>
      <w:r w:rsidR="00C42F72">
        <w:rPr>
          <w:rFonts w:hint="eastAsia"/>
        </w:rPr>
        <w:t>した特許</w:t>
      </w:r>
      <w:r>
        <w:rPr>
          <w:rFonts w:hint="eastAsia"/>
        </w:rPr>
        <w:t>件数</w:t>
      </w:r>
      <w:r w:rsidR="00C42F72">
        <w:rPr>
          <w:rFonts w:hint="eastAsia"/>
        </w:rPr>
        <w:t>が30件に達したことを発表し</w:t>
      </w:r>
      <w:r>
        <w:rPr>
          <w:rFonts w:hint="eastAsia"/>
        </w:rPr>
        <w:t>ました</w:t>
      </w:r>
      <w:r w:rsidR="00C42F72">
        <w:rPr>
          <w:rFonts w:hint="eastAsia"/>
        </w:rPr>
        <w:t>。その内、</w:t>
      </w:r>
      <w:r>
        <w:rPr>
          <w:rFonts w:hint="eastAsia"/>
        </w:rPr>
        <w:t>既に７件が特許権を取得しており、</w:t>
      </w:r>
      <w:r w:rsidR="00C42F72">
        <w:t>2024年9月29日</w:t>
      </w:r>
      <w:r w:rsidR="00C42F72">
        <w:rPr>
          <w:rFonts w:hint="eastAsia"/>
        </w:rPr>
        <w:t>に</w:t>
      </w:r>
      <w:r>
        <w:rPr>
          <w:rFonts w:hint="eastAsia"/>
        </w:rPr>
        <w:t>新たに１件が承認されました</w:t>
      </w:r>
      <w:r w:rsidR="00C42F72">
        <w:rPr>
          <w:rFonts w:hint="eastAsia"/>
        </w:rPr>
        <w:t>。</w:t>
      </w:r>
      <w:r>
        <w:rPr>
          <w:rFonts w:hint="eastAsia"/>
        </w:rPr>
        <w:t>世界的なエネルギー源の転換や、運輸、産業、住宅、エネルギーの各分野における電化を促進すべく、会社</w:t>
      </w:r>
      <w:r w:rsidR="00C42F72">
        <w:rPr>
          <w:rFonts w:hint="eastAsia"/>
        </w:rPr>
        <w:t>設立以降７年間に渡り</w:t>
      </w:r>
      <w:r>
        <w:rPr>
          <w:rFonts w:hint="eastAsia"/>
        </w:rPr>
        <w:t>一貫して戦略的な開発活動を進めてきた成果と言えます。</w:t>
      </w:r>
    </w:p>
    <w:p w14:paraId="425F5BF9" w14:textId="77777777" w:rsidR="00C42F72" w:rsidRPr="004906F8" w:rsidRDefault="00C42F72"/>
    <w:p w14:paraId="3A525ACB" w14:textId="5E8F1E7B" w:rsidR="004906F8" w:rsidRDefault="004906F8">
      <w:r>
        <w:rPr>
          <w:rFonts w:hint="eastAsia"/>
        </w:rPr>
        <w:t>BluWave-aiで</w:t>
      </w:r>
      <w:r w:rsidR="00C42F72">
        <w:rPr>
          <w:rFonts w:hint="eastAsia"/>
        </w:rPr>
        <w:t>は以下の領域</w:t>
      </w:r>
      <w:r>
        <w:rPr>
          <w:rFonts w:hint="eastAsia"/>
        </w:rPr>
        <w:t>に戦略的に取り組んでまいりました。</w:t>
      </w:r>
    </w:p>
    <w:p w14:paraId="65279716" w14:textId="2C0AEDD2" w:rsidR="00C42F72" w:rsidRDefault="00C42F72">
      <w:r>
        <w:rPr>
          <w:rFonts w:hint="eastAsia"/>
        </w:rPr>
        <w:t>・エネルギー事業者</w:t>
      </w:r>
    </w:p>
    <w:p w14:paraId="6A14163B" w14:textId="5AE9132A" w:rsidR="00C42F72" w:rsidRPr="00982B40" w:rsidRDefault="00C42F72">
      <w:r>
        <w:rPr>
          <w:rFonts w:hint="eastAsia"/>
        </w:rPr>
        <w:t>・電気自動</w:t>
      </w:r>
      <w:r w:rsidRPr="004906F8">
        <w:rPr>
          <w:rFonts w:hint="eastAsia"/>
          <w:color w:val="000000" w:themeColor="text1"/>
        </w:rPr>
        <w:t>車や</w:t>
      </w:r>
      <w:r w:rsidR="00982B40" w:rsidRPr="004906F8">
        <w:rPr>
          <w:rFonts w:hint="eastAsia"/>
          <w:color w:val="000000" w:themeColor="text1"/>
        </w:rPr>
        <w:t>スマート家電</w:t>
      </w:r>
    </w:p>
    <w:p w14:paraId="66609EFB" w14:textId="46BFF0DF" w:rsidR="00982B40" w:rsidRDefault="00982B40">
      <w:r w:rsidRPr="00982B40">
        <w:rPr>
          <w:rFonts w:hint="eastAsia"/>
        </w:rPr>
        <w:t>・</w:t>
      </w:r>
      <w:r w:rsidRPr="004906F8">
        <w:rPr>
          <w:rFonts w:hint="eastAsia"/>
          <w:color w:val="000000" w:themeColor="text1"/>
        </w:rPr>
        <w:t>発電事業者および送電事業者</w:t>
      </w:r>
    </w:p>
    <w:p w14:paraId="648556B0" w14:textId="6CFFA270" w:rsidR="00982B40" w:rsidRDefault="00982B40">
      <w:r>
        <w:rPr>
          <w:rFonts w:hint="eastAsia"/>
        </w:rPr>
        <w:t>・エネルギー消費者（一般住宅、産業事業者、フリート運営者、等）</w:t>
      </w:r>
    </w:p>
    <w:p w14:paraId="0B6BB453" w14:textId="77777777" w:rsidR="00982B40" w:rsidRDefault="00982B40"/>
    <w:p w14:paraId="7537E54E" w14:textId="4A888D9E" w:rsidR="00982B40" w:rsidRDefault="00982B40">
      <w:r>
        <w:rPr>
          <w:rFonts w:hint="eastAsia"/>
        </w:rPr>
        <w:t>電力需要が増える一方で節電</w:t>
      </w:r>
      <w:r w:rsidR="004906F8">
        <w:rPr>
          <w:rFonts w:hint="eastAsia"/>
        </w:rPr>
        <w:t>努力の成果</w:t>
      </w:r>
      <w:r>
        <w:rPr>
          <w:rFonts w:hint="eastAsia"/>
        </w:rPr>
        <w:t>もあり、最近数年間の北米の送電網へかかる負荷は安定的に推移してい</w:t>
      </w:r>
      <w:r w:rsidR="004906F8">
        <w:rPr>
          <w:rFonts w:hint="eastAsia"/>
        </w:rPr>
        <w:t>ます</w:t>
      </w:r>
      <w:r>
        <w:rPr>
          <w:rFonts w:hint="eastAsia"/>
        </w:rPr>
        <w:t>。しかし、</w:t>
      </w:r>
      <w:r w:rsidR="004906F8">
        <w:rPr>
          <w:rFonts w:hint="eastAsia"/>
        </w:rPr>
        <w:t>二酸化炭素排出や気候変動のリスクが高まることにより、今後10年間で</w:t>
      </w:r>
      <w:r w:rsidR="007D2B50">
        <w:rPr>
          <w:rFonts w:hint="eastAsia"/>
        </w:rPr>
        <w:t>政府の支援を受けた</w:t>
      </w:r>
      <w:r>
        <w:rPr>
          <w:rFonts w:hint="eastAsia"/>
        </w:rPr>
        <w:t>運輸業界やエネルギー事業者</w:t>
      </w:r>
      <w:r w:rsidR="004906F8">
        <w:rPr>
          <w:rFonts w:hint="eastAsia"/>
        </w:rPr>
        <w:t>による</w:t>
      </w:r>
      <w:r w:rsidR="007D2B50">
        <w:rPr>
          <w:rFonts w:hint="eastAsia"/>
        </w:rPr>
        <w:t>電化が飛躍的に進</w:t>
      </w:r>
      <w:r w:rsidR="004906F8">
        <w:rPr>
          <w:rFonts w:hint="eastAsia"/>
        </w:rPr>
        <w:t>む</w:t>
      </w:r>
      <w:r w:rsidR="007D2B50">
        <w:rPr>
          <w:rFonts w:hint="eastAsia"/>
        </w:rPr>
        <w:t>と考えられて</w:t>
      </w:r>
      <w:r w:rsidR="004906F8">
        <w:rPr>
          <w:rFonts w:hint="eastAsia"/>
        </w:rPr>
        <w:t>います。米国エネルギー省の予測によると、送電網の近代化のための投資額は米国内だけで3500億ドルから5000億ドルに達する見込みです。エネルギーの分野に明るい経営コンサルタントのブラトル・グループは、強力な電化推進のためには次の10年間で1600億ドルの投資が必要であると推測しています。</w:t>
      </w:r>
    </w:p>
    <w:p w14:paraId="09987B53" w14:textId="77777777" w:rsidR="004906F8" w:rsidRDefault="004906F8"/>
    <w:p w14:paraId="0CAA5710" w14:textId="7F72CBCB" w:rsidR="004906F8" w:rsidRDefault="004906F8">
      <w:r>
        <w:rPr>
          <w:rFonts w:hint="eastAsia"/>
        </w:rPr>
        <w:t>BluWave-aiのデヴァシッシ・ポール社長は、「このような見通しの中、BluWave-aiでは過去７年間に渡り数々の発明を重ね、電力需要と化石燃料に代わる再生可能エネルギーによる発電量との需給バランスを図るインテリジェント・ソフトウェア開発しました。それを送電網に組み込むことで、蓄電池などの高額な設備投資を圧縮することができます」と説明しました。さらに、「BluWave-aiでは、このようなインテリジェント・ソフトウェアの市場は140億ドルから200億ドル規模になると予想しており、それは北米圏の電化に対応するための送電網への追加投資総額の４％程度になると考えております。弊社の保有する特許や</w:t>
      </w:r>
      <w:r>
        <w:rPr>
          <w:rFonts w:hint="eastAsia"/>
        </w:rPr>
        <w:lastRenderedPageBreak/>
        <w:t>商品は、このようなスマート・グリッドへの移行を可能にするものなのです」とポール社長は市場規模と同社の役割について語っております。</w:t>
      </w:r>
    </w:p>
    <w:p w14:paraId="5CB60AC4" w14:textId="77777777" w:rsidR="004906F8" w:rsidRDefault="004906F8"/>
    <w:p w14:paraId="55440D4B" w14:textId="407B1B62" w:rsidR="004906F8" w:rsidRDefault="004906F8">
      <w:r>
        <w:rPr>
          <w:rFonts w:hint="eastAsia"/>
        </w:rPr>
        <w:t>BluWave-aiでは特許や発明をEdge &amp; Center Energy Optimization というプラットフォームを通じて商品化し、数年分のあらゆる運用データを蓄積したデータベースとAIによる予測モデルを組み合わせたAtlasという商品を提供しています。</w:t>
      </w:r>
    </w:p>
    <w:p w14:paraId="435E905F" w14:textId="77777777" w:rsidR="007D2B50" w:rsidRDefault="007D2B50"/>
    <w:p w14:paraId="20D82472" w14:textId="33800AF0" w:rsidR="007D2B50" w:rsidRDefault="004906F8">
      <w:r>
        <w:rPr>
          <w:rFonts w:hint="eastAsia"/>
        </w:rPr>
        <w:t>「電力需要の増加や気候変動への対応のために、従来の送電網をソフトウェアの力で柔軟で効率の良いスマート・グリッドへと進化させるという世界的な流れを、BluWave-aiの先進的技術が支えています」と開発担当シニアディレクターのトーマス・トリプレットは語ります。「持続可能な地球環境の維持に貢献すべく、送電網の性能と信頼性の向上を、コスト効率の良い拡張性の高い形で提供しています。」</w:t>
      </w:r>
    </w:p>
    <w:p w14:paraId="3F41962F" w14:textId="77777777" w:rsidR="004906F8" w:rsidRDefault="004906F8"/>
    <w:p w14:paraId="727348E6" w14:textId="7525EE13" w:rsidR="004906F8" w:rsidRDefault="004906F8">
      <w:r>
        <w:rPr>
          <w:rFonts w:hint="eastAsia"/>
        </w:rPr>
        <w:t>BluWave-aiは既に米国で30件の特許を出願しており、次に挙げる７件が既に特許権を得ております。</w:t>
      </w:r>
    </w:p>
    <w:p w14:paraId="1D062FFD" w14:textId="77777777" w:rsidR="004906F8" w:rsidRPr="004906F8" w:rsidRDefault="004906F8"/>
    <w:p w14:paraId="3136F1B7" w14:textId="423BBE47" w:rsidR="004906F8" w:rsidRDefault="004906F8" w:rsidP="004906F8">
      <w:pPr>
        <w:pStyle w:val="ListParagraph"/>
        <w:numPr>
          <w:ilvl w:val="0"/>
          <w:numId w:val="1"/>
        </w:numPr>
        <w:spacing w:afterLines="50" w:after="180"/>
        <w:ind w:left="142" w:hanging="142"/>
      </w:pPr>
      <w:r>
        <w:rPr>
          <w:rFonts w:hint="eastAsia"/>
        </w:rPr>
        <w:t>AIの活用により、変動する再生可能エネルギー発電と蓄電を最適化し、同時に蓄電池の寿命を最大化するもの：２件（特許番号</w:t>
      </w:r>
      <w:r>
        <w:t>11,133,676</w:t>
      </w:r>
      <w:r>
        <w:rPr>
          <w:rFonts w:hint="eastAsia"/>
        </w:rPr>
        <w:t>および</w:t>
      </w:r>
      <w:r>
        <w:t>11,831,163</w:t>
      </w:r>
      <w:r>
        <w:rPr>
          <w:rFonts w:hint="eastAsia"/>
        </w:rPr>
        <w:t>）</w:t>
      </w:r>
    </w:p>
    <w:p w14:paraId="4F4C99CC" w14:textId="77777777" w:rsidR="004906F8" w:rsidRDefault="004906F8" w:rsidP="004906F8">
      <w:pPr>
        <w:pStyle w:val="ListParagraph"/>
        <w:spacing w:afterLines="50" w:after="180"/>
        <w:ind w:left="142"/>
      </w:pPr>
    </w:p>
    <w:p w14:paraId="42B87B1B" w14:textId="51CFEFFF" w:rsidR="004906F8" w:rsidRDefault="004906F8" w:rsidP="004906F8">
      <w:pPr>
        <w:pStyle w:val="ListParagraph"/>
        <w:numPr>
          <w:ilvl w:val="0"/>
          <w:numId w:val="1"/>
        </w:numPr>
        <w:spacing w:afterLines="50" w:after="180"/>
        <w:ind w:left="142" w:hanging="142"/>
      </w:pPr>
      <w:r>
        <w:rPr>
          <w:rFonts w:hint="eastAsia"/>
        </w:rPr>
        <w:t>送電網の最適化に関わるもの：</w:t>
      </w:r>
      <w:r>
        <w:t>3</w:t>
      </w:r>
      <w:r>
        <w:rPr>
          <w:rFonts w:hint="eastAsia"/>
        </w:rPr>
        <w:t>件（特許番号</w:t>
      </w:r>
      <w:r>
        <w:t>10,510,128</w:t>
      </w:r>
      <w:r>
        <w:rPr>
          <w:rFonts w:hint="eastAsia"/>
        </w:rPr>
        <w:t>、</w:t>
      </w:r>
      <w:r>
        <w:t>11,170,456</w:t>
      </w:r>
      <w:r>
        <w:rPr>
          <w:rFonts w:hint="eastAsia"/>
        </w:rPr>
        <w:t>、および</w:t>
      </w:r>
      <w:r>
        <w:t>11,830,090</w:t>
      </w:r>
      <w:r>
        <w:rPr>
          <w:rFonts w:hint="eastAsia"/>
        </w:rPr>
        <w:t>）</w:t>
      </w:r>
    </w:p>
    <w:p w14:paraId="384A6B72" w14:textId="7E23FA97" w:rsidR="004906F8" w:rsidRDefault="004906F8" w:rsidP="004906F8">
      <w:pPr>
        <w:spacing w:afterLines="50" w:after="180"/>
        <w:ind w:leftChars="270" w:left="567"/>
      </w:pPr>
      <w:r>
        <w:rPr>
          <w:rFonts w:hint="eastAsia"/>
        </w:rPr>
        <w:t>AIを活用した予測能力により送電網を最適化し、エネルギーのロスを最小化すると同時に送電網上のリソースの効率的な活用を実現するものです。風力発電施設、太陽光発電施設、蓄電設備など、さまざまなシステムに活用できます。</w:t>
      </w:r>
    </w:p>
    <w:p w14:paraId="79124C60" w14:textId="793594A1" w:rsidR="004906F8" w:rsidRDefault="004906F8" w:rsidP="004906F8">
      <w:pPr>
        <w:pStyle w:val="ListParagraph"/>
        <w:numPr>
          <w:ilvl w:val="0"/>
          <w:numId w:val="3"/>
        </w:numPr>
        <w:spacing w:afterLines="50" w:after="180"/>
        <w:ind w:left="142" w:hanging="142"/>
      </w:pPr>
      <w:r>
        <w:rPr>
          <w:rFonts w:hint="eastAsia"/>
        </w:rPr>
        <w:t>電気自動車フリートの充電の最適化に関わるもの：１件（特許番号</w:t>
      </w:r>
      <w:r>
        <w:t>11,267,362</w:t>
      </w:r>
      <w:r>
        <w:rPr>
          <w:rFonts w:hint="eastAsia"/>
        </w:rPr>
        <w:t>）</w:t>
      </w:r>
    </w:p>
    <w:p w14:paraId="217D5447" w14:textId="4934B233" w:rsidR="004906F8" w:rsidRDefault="004906F8" w:rsidP="004906F8">
      <w:pPr>
        <w:spacing w:afterLines="50" w:after="180"/>
        <w:ind w:leftChars="270" w:left="567"/>
      </w:pPr>
      <w:r>
        <w:rPr>
          <w:rFonts w:hint="eastAsia"/>
        </w:rPr>
        <w:t>AIの活用により、電力資源の需要と供給を予測し、電気自動車のフリートの効率良い低コストな充電を実現します。</w:t>
      </w:r>
    </w:p>
    <w:p w14:paraId="2E7FF380" w14:textId="03679CC6" w:rsidR="004906F8" w:rsidRDefault="004906F8" w:rsidP="004906F8">
      <w:pPr>
        <w:pStyle w:val="ListParagraph"/>
        <w:numPr>
          <w:ilvl w:val="0"/>
          <w:numId w:val="3"/>
        </w:numPr>
        <w:spacing w:afterLines="50" w:after="180"/>
        <w:ind w:left="142" w:hanging="142"/>
      </w:pPr>
      <w:r>
        <w:t>AI</w:t>
      </w:r>
      <w:r>
        <w:rPr>
          <w:rFonts w:hint="eastAsia"/>
        </w:rPr>
        <w:t>の活用により、送電網上の蓄電設備の最適かつ柔軟な充電を実現するもの：１件（特許番号</w:t>
      </w:r>
      <w:r>
        <w:t>12,040,650</w:t>
      </w:r>
      <w:r>
        <w:rPr>
          <w:rFonts w:hint="eastAsia"/>
        </w:rPr>
        <w:t>）</w:t>
      </w:r>
    </w:p>
    <w:p w14:paraId="74740CDF" w14:textId="77777777" w:rsidR="004906F8" w:rsidRDefault="004906F8" w:rsidP="004906F8"/>
    <w:p w14:paraId="6DD0661B" w14:textId="0316E1F4" w:rsidR="004906F8" w:rsidRDefault="004906F8">
      <w:r>
        <w:rPr>
          <w:rFonts w:hint="eastAsia"/>
        </w:rPr>
        <w:t>「カナダ随一の法律事務所として、BluWave-aiを顧客として迎えることは大きな喜びです。同社の開発するAIを活用したエネルギー最適化のための先進的なソリューションの数々は、我々の環境保全とイノベーションに対するコミットメントとも合致します。今後同社の製品が市場で成功することを期待しています」とBorden Ladner Gervais</w:t>
      </w:r>
      <w:r>
        <w:t xml:space="preserve"> LLP</w:t>
      </w:r>
      <w:r>
        <w:rPr>
          <w:rFonts w:hint="eastAsia"/>
        </w:rPr>
        <w:t>（カナダ最大の法律事務所）のCOO、ロブ・モリス氏が話しました。</w:t>
      </w:r>
    </w:p>
    <w:p w14:paraId="2BC554FB" w14:textId="77777777" w:rsidR="004906F8" w:rsidRDefault="004906F8"/>
    <w:p w14:paraId="2E4B7D0A" w14:textId="06C82DE3" w:rsidR="004906F8" w:rsidRDefault="004906F8">
      <w:r>
        <w:rPr>
          <w:rFonts w:hint="eastAsia"/>
        </w:rPr>
        <w:t>Innovation Asset Collective（カナダ政府の元でカナダの中小企業の知的財産戦略を支援する団体）のCEO、マイク・マクリーン氏は「世界で成功するテクノロジー会社となるためには、カナダの企業は知的財産を戦略的なツールとして活用する方法を理解し、強力な知的財産の保有で成長をサポートする必要があります。自ら保有しない技術を商業化することはできません。自由に使える技術を持っていてこそ、カナダ経済に貢献するような高いリターンを得ることができます。知的財産の構築を通して、自らのイノベーションの成果から経済的リターンを生み出すことの</w:t>
      </w:r>
      <w:r>
        <w:rPr>
          <w:rFonts w:ascii="Cambria" w:hAnsi="Cambria" w:cs="Cambria" w:hint="eastAsia"/>
        </w:rPr>
        <w:t>できる</w:t>
      </w:r>
      <w:r>
        <w:rPr>
          <w:rFonts w:hint="eastAsia"/>
        </w:rPr>
        <w:t>BluWave-aiのような企業が、一層の知的財産の強化に取り組んでいるのは非常に喜ばしいことです」と語りました。</w:t>
      </w:r>
    </w:p>
    <w:p w14:paraId="33F98545" w14:textId="77777777" w:rsidR="004906F8" w:rsidRDefault="004906F8"/>
    <w:p w14:paraId="70088A4C" w14:textId="1C8F45B9" w:rsidR="004906F8" w:rsidRDefault="004906F8">
      <w:r>
        <w:rPr>
          <w:rFonts w:hint="eastAsia"/>
        </w:rPr>
        <w:t>BluWave-aiでは、さまざまな顧客、パートナー企業、研究所、大学などに対して、ライセンス契約を通して戦略的に知的財産を提供する機会を歓迎します。当社の商品をライセンス契約を通して活用していただくと、商品に投入されているすべての知的財産を活用することができます。お問い合わせは</w:t>
      </w:r>
      <w:r>
        <w:t xml:space="preserve"> </w:t>
      </w:r>
      <w:hyperlink r:id="rId5" w:history="1">
        <w:r w:rsidRPr="00020A0D">
          <w:rPr>
            <w:rStyle w:val="Hyperlink"/>
          </w:rPr>
          <w:t>info@bluwave-ai.com</w:t>
        </w:r>
      </w:hyperlink>
      <w:r>
        <w:rPr>
          <w:rFonts w:hint="eastAsia"/>
        </w:rPr>
        <w:t>までお願い致します。</w:t>
      </w:r>
    </w:p>
    <w:p w14:paraId="05378B01" w14:textId="77777777" w:rsidR="004906F8" w:rsidRDefault="004906F8"/>
    <w:p w14:paraId="7CF76400" w14:textId="77777777" w:rsidR="004906F8" w:rsidRDefault="004906F8"/>
    <w:p w14:paraId="2423FA7B" w14:textId="68498610" w:rsidR="004906F8" w:rsidRDefault="004906F8">
      <w:r>
        <w:rPr>
          <w:rFonts w:hint="eastAsia"/>
        </w:rPr>
        <w:t>BluWave-aiについて</w:t>
      </w:r>
    </w:p>
    <w:p w14:paraId="4ADA7767" w14:textId="77777777" w:rsidR="004906F8" w:rsidRDefault="004906F8"/>
    <w:p w14:paraId="7D9600AA" w14:textId="26329569" w:rsidR="004906F8" w:rsidRDefault="004906F8">
      <w:r>
        <w:t>2017</w:t>
      </w:r>
      <w:r>
        <w:rPr>
          <w:rFonts w:hint="eastAsia"/>
        </w:rPr>
        <w:t>年に設立された弊社は、カナダのオタワ市に本社を置き、AIを駆使した輸送手段の電化と再生可能エネルギー活用の領域において世界の最先端を行く企業です。AIを活用したソリューションをSaas方式で提供し、世界中で再生可能</w:t>
      </w:r>
      <w:r>
        <w:rPr>
          <w:rFonts w:ascii="Apple Color Emoji" w:hAnsi="Apple Color Emoji" w:cs="Apple Color Emoji" w:hint="eastAsia"/>
        </w:rPr>
        <w:t>エ</w:t>
      </w:r>
      <w:r>
        <w:rPr>
          <w:rFonts w:hint="eastAsia"/>
        </w:rPr>
        <w:t>ネルギーの普及や輸送手段の電化に注力しています。弊社の商品は、発電源の異なる電力（再生可能エネルギーも従来型の発電方法による電力も）をリアルタイムで管理し最適化します。こうすることで、弊社の顧客である車両フリート運営者や企業、電力会社などは、電力の購入、蓄電、消費、それぞれの場面で最適な判断が可能となります。弊社は現在までに1600万ドル以上の資金調達に成功しており、オンタリオ州の電力会社であるOntario Power Generationの子会社PowerON Energy SolutionsやSustainable Development Technologies Canadaからも出資を受けております。</w:t>
      </w:r>
    </w:p>
    <w:p w14:paraId="2DAF6657" w14:textId="77777777" w:rsidR="004906F8" w:rsidRDefault="004906F8"/>
    <w:p w14:paraId="420016CD" w14:textId="77777777" w:rsidR="004906F8" w:rsidRDefault="004906F8"/>
    <w:p w14:paraId="3F4F6E92" w14:textId="719255D2" w:rsidR="004906F8" w:rsidRDefault="004906F8">
      <w:r>
        <w:rPr>
          <w:rFonts w:hint="eastAsia"/>
        </w:rPr>
        <w:t>＜お問い合わせ先＞</w:t>
      </w:r>
    </w:p>
    <w:p w14:paraId="2FEE944A" w14:textId="611BDA59" w:rsidR="004906F8" w:rsidRDefault="004906F8">
      <w:r>
        <w:rPr>
          <w:rFonts w:hint="eastAsia"/>
        </w:rPr>
        <w:t xml:space="preserve">Brandon Paul, Senior Corporate Marketing Manager, BluWave-ai   </w:t>
      </w:r>
    </w:p>
    <w:p w14:paraId="4D614E51" w14:textId="2F21A112" w:rsidR="004906F8" w:rsidRDefault="004906F8">
      <w:hyperlink r:id="rId6" w:history="1">
        <w:r w:rsidRPr="00020A0D">
          <w:rPr>
            <w:rStyle w:val="Hyperlink"/>
          </w:rPr>
          <w:t>brandon.paul@bluwave-ai.com</w:t>
        </w:r>
      </w:hyperlink>
    </w:p>
    <w:p w14:paraId="422F7A8E" w14:textId="19EF3F74" w:rsidR="004906F8" w:rsidRDefault="004906F8">
      <w:hyperlink r:id="rId7" w:history="1">
        <w:r w:rsidRPr="00020A0D">
          <w:rPr>
            <w:rStyle w:val="Hyperlink"/>
          </w:rPr>
          <w:t>www.bluewave-ai.com</w:t>
        </w:r>
      </w:hyperlink>
    </w:p>
    <w:p w14:paraId="53C1290D" w14:textId="77777777" w:rsidR="004906F8" w:rsidRPr="004906F8" w:rsidRDefault="004906F8"/>
    <w:sectPr w:rsidR="004906F8" w:rsidRPr="004906F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Apple Color Emoji">
    <w:altName w:val="Calibri"/>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CB21DC"/>
    <w:multiLevelType w:val="hybridMultilevel"/>
    <w:tmpl w:val="F3DA963E"/>
    <w:lvl w:ilvl="0" w:tplc="BFF220F6">
      <w:numFmt w:val="bullet"/>
      <w:lvlText w:val="・"/>
      <w:lvlJc w:val="left"/>
      <w:pPr>
        <w:ind w:left="360" w:hanging="360"/>
      </w:pPr>
      <w:rPr>
        <w:rFonts w:ascii="Yu Mincho" w:eastAsia="Yu Mincho" w:hAnsi="Yu Minch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AC940D8"/>
    <w:multiLevelType w:val="hybridMultilevel"/>
    <w:tmpl w:val="2EEEAB64"/>
    <w:lvl w:ilvl="0" w:tplc="34727C14">
      <w:start w:val="1"/>
      <w:numFmt w:val="bullet"/>
      <w:lvlText w:val=""/>
      <w:lvlJc w:val="left"/>
      <w:pPr>
        <w:ind w:left="440" w:hanging="440"/>
      </w:pPr>
      <w:rPr>
        <w:rFonts w:ascii="Symbol"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BA52E42"/>
    <w:multiLevelType w:val="hybridMultilevel"/>
    <w:tmpl w:val="81EE1238"/>
    <w:lvl w:ilvl="0" w:tplc="34727C14">
      <w:start w:val="1"/>
      <w:numFmt w:val="bullet"/>
      <w:lvlText w:val=""/>
      <w:lvlJc w:val="left"/>
      <w:pPr>
        <w:ind w:left="440" w:hanging="440"/>
      </w:pPr>
      <w:rPr>
        <w:rFonts w:ascii="Symbol" w:hAnsi="Symbol" w:hint="default"/>
        <w:color w:val="auto"/>
      </w:rPr>
    </w:lvl>
    <w:lvl w:ilvl="1" w:tplc="6C48A4B4">
      <w:numFmt w:val="bullet"/>
      <w:lvlText w:val="・"/>
      <w:lvlJc w:val="left"/>
      <w:pPr>
        <w:ind w:left="800" w:hanging="360"/>
      </w:pPr>
      <w:rPr>
        <w:rFonts w:ascii="Yu Mincho" w:eastAsia="Yu Mincho" w:hAnsi="Yu Mincho"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76778841">
    <w:abstractNumId w:val="2"/>
  </w:num>
  <w:num w:numId="2" w16cid:durableId="186141292">
    <w:abstractNumId w:val="0"/>
  </w:num>
  <w:num w:numId="3" w16cid:durableId="1725985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F72"/>
    <w:rsid w:val="00294C59"/>
    <w:rsid w:val="002E4DA3"/>
    <w:rsid w:val="003C5439"/>
    <w:rsid w:val="004906F8"/>
    <w:rsid w:val="006F1625"/>
    <w:rsid w:val="007D2B50"/>
    <w:rsid w:val="00885CC1"/>
    <w:rsid w:val="00982B40"/>
    <w:rsid w:val="00C42F72"/>
    <w:rsid w:val="00D65863"/>
    <w:rsid w:val="00F67E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91C8"/>
  <w15:chartTrackingRefBased/>
  <w15:docId w15:val="{2374A54C-1E40-284F-8E0C-37A3B740D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C42F7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C42F7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C42F72"/>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semiHidden/>
    <w:unhideWhenUsed/>
    <w:qFormat/>
    <w:rsid w:val="00C42F72"/>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C42F7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C42F7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C42F7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C42F7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C42F7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F72"/>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C42F72"/>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C42F72"/>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C42F72"/>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C42F72"/>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C42F72"/>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C42F72"/>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C42F72"/>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C42F72"/>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C42F72"/>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F7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F7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C42F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2F72"/>
    <w:rPr>
      <w:i/>
      <w:iCs/>
      <w:color w:val="404040" w:themeColor="text1" w:themeTint="BF"/>
    </w:rPr>
  </w:style>
  <w:style w:type="paragraph" w:styleId="ListParagraph">
    <w:name w:val="List Paragraph"/>
    <w:basedOn w:val="Normal"/>
    <w:uiPriority w:val="34"/>
    <w:qFormat/>
    <w:rsid w:val="00C42F72"/>
    <w:pPr>
      <w:ind w:left="720"/>
      <w:contextualSpacing/>
    </w:pPr>
  </w:style>
  <w:style w:type="character" w:styleId="IntenseEmphasis">
    <w:name w:val="Intense Emphasis"/>
    <w:basedOn w:val="DefaultParagraphFont"/>
    <w:uiPriority w:val="21"/>
    <w:qFormat/>
    <w:rsid w:val="00C42F72"/>
    <w:rPr>
      <w:i/>
      <w:iCs/>
      <w:color w:val="0F4761" w:themeColor="accent1" w:themeShade="BF"/>
    </w:rPr>
  </w:style>
  <w:style w:type="paragraph" w:styleId="IntenseQuote">
    <w:name w:val="Intense Quote"/>
    <w:basedOn w:val="Normal"/>
    <w:next w:val="Normal"/>
    <w:link w:val="IntenseQuoteChar"/>
    <w:uiPriority w:val="30"/>
    <w:qFormat/>
    <w:rsid w:val="00C42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F72"/>
    <w:rPr>
      <w:i/>
      <w:iCs/>
      <w:color w:val="0F4761" w:themeColor="accent1" w:themeShade="BF"/>
    </w:rPr>
  </w:style>
  <w:style w:type="character" w:styleId="IntenseReference">
    <w:name w:val="Intense Reference"/>
    <w:basedOn w:val="DefaultParagraphFont"/>
    <w:uiPriority w:val="32"/>
    <w:qFormat/>
    <w:rsid w:val="00C42F72"/>
    <w:rPr>
      <w:b/>
      <w:bCs/>
      <w:smallCaps/>
      <w:color w:val="0F4761" w:themeColor="accent1" w:themeShade="BF"/>
      <w:spacing w:val="5"/>
    </w:rPr>
  </w:style>
  <w:style w:type="paragraph" w:styleId="Date">
    <w:name w:val="Date"/>
    <w:basedOn w:val="Normal"/>
    <w:next w:val="Normal"/>
    <w:link w:val="DateChar"/>
    <w:uiPriority w:val="99"/>
    <w:semiHidden/>
    <w:unhideWhenUsed/>
    <w:rsid w:val="004906F8"/>
  </w:style>
  <w:style w:type="character" w:customStyle="1" w:styleId="DateChar">
    <w:name w:val="Date Char"/>
    <w:basedOn w:val="DefaultParagraphFont"/>
    <w:link w:val="Date"/>
    <w:uiPriority w:val="99"/>
    <w:semiHidden/>
    <w:rsid w:val="004906F8"/>
  </w:style>
  <w:style w:type="character" w:styleId="Hyperlink">
    <w:name w:val="Hyperlink"/>
    <w:basedOn w:val="DefaultParagraphFont"/>
    <w:uiPriority w:val="99"/>
    <w:unhideWhenUsed/>
    <w:rsid w:val="004906F8"/>
    <w:rPr>
      <w:color w:val="467886" w:themeColor="hyperlink"/>
      <w:u w:val="single"/>
    </w:rPr>
  </w:style>
  <w:style w:type="character" w:styleId="UnresolvedMention">
    <w:name w:val="Unresolved Mention"/>
    <w:basedOn w:val="DefaultParagraphFont"/>
    <w:uiPriority w:val="99"/>
    <w:semiHidden/>
    <w:unhideWhenUsed/>
    <w:rsid w:val="004906F8"/>
    <w:rPr>
      <w:color w:val="605E5C"/>
      <w:shd w:val="clear" w:color="auto" w:fill="E1DFDD"/>
    </w:rPr>
  </w:style>
  <w:style w:type="paragraph" w:styleId="Revision">
    <w:name w:val="Revision"/>
    <w:hidden/>
    <w:uiPriority w:val="99"/>
    <w:semiHidden/>
    <w:rsid w:val="00490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luewave-a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randon.paul@bluwave-ai.com" TargetMode="External"/><Relationship Id="rId5" Type="http://schemas.openxmlformats.org/officeDocument/2006/relationships/hyperlink" Target="mailto:info@bluwave-ai.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491</Words>
  <Characters>2802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佐藤健</dc:creator>
  <cp:keywords/>
  <dc:description/>
  <cp:lastModifiedBy>Brandon Paul</cp:lastModifiedBy>
  <cp:revision>3</cp:revision>
  <dcterms:created xsi:type="dcterms:W3CDTF">2024-10-01T15:37:00Z</dcterms:created>
  <dcterms:modified xsi:type="dcterms:W3CDTF">2024-10-02T19:48:00Z</dcterms:modified>
</cp:coreProperties>
</file>