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7FEC420B" w:rsidR="00A54B7D" w:rsidRPr="00CC5E6A" w:rsidRDefault="002C0C2A" w:rsidP="00A54B7D">
      <w:pPr>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4E53DE68" w14:textId="1ECFF098" w:rsidR="00942EF0" w:rsidRDefault="00DD6624" w:rsidP="00A54B7D">
      <w:pPr>
        <w:jc w:val="center"/>
        <w:rPr>
          <w:b/>
          <w:bCs/>
          <w:sz w:val="28"/>
          <w:szCs w:val="28"/>
        </w:rPr>
      </w:pPr>
      <w:r w:rsidRPr="00DD6624">
        <w:rPr>
          <w:b/>
          <w:bCs/>
          <w:sz w:val="28"/>
          <w:szCs w:val="28"/>
        </w:rPr>
        <w:t xml:space="preserve">Quantum Biopharma signs </w:t>
      </w:r>
      <w:r w:rsidR="00751A34">
        <w:rPr>
          <w:b/>
          <w:bCs/>
          <w:sz w:val="28"/>
          <w:szCs w:val="28"/>
        </w:rPr>
        <w:t>an</w:t>
      </w:r>
      <w:r w:rsidRPr="00DD6624">
        <w:rPr>
          <w:b/>
          <w:bCs/>
          <w:sz w:val="28"/>
          <w:szCs w:val="28"/>
        </w:rPr>
        <w:t xml:space="preserve"> agreement with Ingenu CRO to conduct a clinical study to observe disease progression in patients with primary progressive multiple sclerosis.</w:t>
      </w:r>
    </w:p>
    <w:p w14:paraId="02880CB5" w14:textId="77777777" w:rsidR="001662CA" w:rsidRDefault="001662CA" w:rsidP="00A54B7D">
      <w:pPr>
        <w:jc w:val="center"/>
        <w:rPr>
          <w:b/>
          <w:szCs w:val="22"/>
        </w:rPr>
      </w:pPr>
    </w:p>
    <w:p w14:paraId="5DC21F97" w14:textId="77777777" w:rsidR="00DD6624" w:rsidRPr="00CC5E6A" w:rsidRDefault="00DD6624" w:rsidP="00A54B7D">
      <w:pPr>
        <w:jc w:val="center"/>
        <w:rPr>
          <w:b/>
          <w:szCs w:val="22"/>
        </w:rPr>
      </w:pPr>
    </w:p>
    <w:p w14:paraId="11AE9E1C" w14:textId="67CE8841" w:rsidR="00707FBD" w:rsidRPr="00707FBD" w:rsidRDefault="00A54B7D" w:rsidP="00707FBD">
      <w:pPr>
        <w:ind w:firstLine="0"/>
        <w:rPr>
          <w:b/>
          <w:bCs/>
        </w:rPr>
      </w:pPr>
      <w:r w:rsidRPr="00CC5E6A">
        <w:rPr>
          <w:b/>
        </w:rPr>
        <w:t xml:space="preserve">Toronto, ON – </w:t>
      </w:r>
      <w:r w:rsidR="00D0674D">
        <w:rPr>
          <w:b/>
        </w:rPr>
        <w:t>September 9</w:t>
      </w:r>
      <w:r w:rsidR="00EB39D5">
        <w:rPr>
          <w:b/>
        </w:rPr>
        <w:t>,</w:t>
      </w:r>
      <w:r w:rsidR="009A7460">
        <w:rPr>
          <w:b/>
        </w:rPr>
        <w:t xml:space="preserve"> </w:t>
      </w:r>
      <w:r w:rsidRPr="00CC5E6A">
        <w:rPr>
          <w:b/>
        </w:rPr>
        <w:t>2024</w:t>
      </w:r>
      <w:r w:rsidRPr="00CC5E6A">
        <w:t xml:space="preserve"> – </w:t>
      </w:r>
      <w:r w:rsidR="00707FBD" w:rsidRPr="00707FBD">
        <w:rPr>
          <w:lang w:val="en-CA"/>
        </w:rPr>
        <w:t>Quantum BioPharma Ltd. (NASDAQ:QNTM)</w:t>
      </w:r>
      <w:r w:rsidR="00314244">
        <w:rPr>
          <w:lang w:val="en-CA"/>
        </w:rPr>
        <w:t xml:space="preserve"> </w:t>
      </w:r>
      <w:r w:rsidR="00707FBD" w:rsidRPr="00707FBD">
        <w:rPr>
          <w:lang w:val="en-CA"/>
        </w:rPr>
        <w:t>(CSE:QNTM)</w:t>
      </w:r>
      <w:r w:rsidR="00314244">
        <w:rPr>
          <w:lang w:val="en-CA"/>
        </w:rPr>
        <w:t xml:space="preserve"> </w:t>
      </w:r>
      <w:r w:rsidR="00707FBD" w:rsidRPr="00707FBD">
        <w:rPr>
          <w:lang w:val="en-CA"/>
        </w:rPr>
        <w:t>(FRA:0K91) ("Quantum BioPharma" or the "Company"), a biopharmaceutical company dedicated to building a portfolio of innovative assets and biotech solutions, today announces</w:t>
      </w:r>
      <w:r w:rsidR="00707FBD" w:rsidRPr="00707FBD">
        <w:t xml:space="preserve"> that through its subsidiary, HUGE Biopharma Australia Pty Ltd., it entered into an agreement with Ingenu CRO Pty Ltd on August 13, 2024 to conduct  a clinical study to observe and quantify disease progression in patients with primary progressive multiple sclerosis. This study will facilitate a future phase 2 clinical trial with Lucid-21-302 (Lucid-MS).</w:t>
      </w:r>
    </w:p>
    <w:p w14:paraId="0BC5ABBB" w14:textId="77777777" w:rsidR="00314244" w:rsidRDefault="00314244" w:rsidP="00707FBD">
      <w:pPr>
        <w:ind w:firstLine="0"/>
        <w:rPr>
          <w:lang w:val="en-CA"/>
        </w:rPr>
      </w:pPr>
    </w:p>
    <w:p w14:paraId="72F44C65" w14:textId="6BC8A743" w:rsidR="00707FBD" w:rsidRPr="00707FBD" w:rsidRDefault="00707FBD" w:rsidP="00707FBD">
      <w:pPr>
        <w:ind w:firstLine="0"/>
        <w:rPr>
          <w:lang w:val="en-CA"/>
        </w:rPr>
      </w:pPr>
      <w:r w:rsidRPr="00707FBD">
        <w:rPr>
          <w:lang w:val="en-CA"/>
        </w:rPr>
        <w:t xml:space="preserve">“We are very pleased to be working with Ingenu CRO to conduct this observational study in patients with multiple sclerosis. This is an important study which advances our multiple sclerosis research program and moves us closer to initiating a phase 2 clinical trial with Lucid-21-302,” said Dr. Andrzej Chruscinski, Vice-President, Scientific and Clinical Affairs at Quantum Biopharma. </w:t>
      </w:r>
    </w:p>
    <w:p w14:paraId="2123AFAF" w14:textId="77777777" w:rsidR="00707FBD" w:rsidRPr="00707FBD" w:rsidRDefault="00707FBD" w:rsidP="00707FBD">
      <w:pPr>
        <w:ind w:firstLine="0"/>
        <w:rPr>
          <w:lang w:val="en-CA"/>
        </w:rPr>
      </w:pPr>
    </w:p>
    <w:p w14:paraId="2BCAEA04" w14:textId="77777777" w:rsidR="001A1A19" w:rsidRDefault="001A1A19" w:rsidP="003922C9">
      <w:pPr>
        <w:ind w:firstLine="0"/>
        <w:rPr>
          <w:b/>
          <w:bCs/>
        </w:rPr>
      </w:pPr>
    </w:p>
    <w:p w14:paraId="5F7297AA" w14:textId="2C0E5FD1"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4A312EAC" w14:textId="77777777" w:rsidR="00F21191" w:rsidRPr="00CC5E6A" w:rsidRDefault="00F21191" w:rsidP="00F21191">
      <w:pPr>
        <w:ind w:firstLine="0"/>
      </w:pPr>
    </w:p>
    <w:p w14:paraId="5BD85520" w14:textId="3BD64987" w:rsidR="00847849" w:rsidRPr="00CC5E6A" w:rsidRDefault="0092005E" w:rsidP="00F21191">
      <w:pPr>
        <w:ind w:firstLine="0"/>
      </w:pPr>
      <w:r>
        <w:rPr>
          <w:bCs/>
          <w:lang w:val="en-CA"/>
        </w:rPr>
        <w:t>Quantum BioPharma Ltd.</w:t>
      </w:r>
      <w:r w:rsidR="001348AF">
        <w:rPr>
          <w:bCs/>
          <w:lang w:val="en-CA"/>
        </w:rPr>
        <w:t xml:space="preserve"> </w:t>
      </w:r>
      <w:r w:rsidR="00AF00A5" w:rsidRPr="00CC5E6A">
        <w:rPr>
          <w:bCs/>
          <w:lang w:val="en-CA"/>
        </w:rPr>
        <w:t>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wholly-owned subsidiary, Lucid Psycheceuticals Inc. (</w:t>
      </w:r>
      <w:r w:rsidR="00CC5E6A" w:rsidRPr="00CC5E6A">
        <w:rPr>
          <w:bCs/>
          <w:lang w:val="en-CA"/>
        </w:rPr>
        <w:t>“</w:t>
      </w:r>
      <w:r w:rsidR="00AF00A5" w:rsidRPr="00CC5E6A">
        <w:rPr>
          <w:b/>
          <w:bCs/>
          <w:lang w:val="en-CA"/>
        </w:rPr>
        <w:t>Lucid</w:t>
      </w:r>
      <w:r w:rsidR="00CC5E6A" w:rsidRPr="00CC5E6A">
        <w:rPr>
          <w:bCs/>
          <w:lang w:val="en-CA"/>
        </w:rPr>
        <w:t>”</w:t>
      </w:r>
      <w:r w:rsidR="00AF00A5" w:rsidRPr="00CC5E6A">
        <w:rPr>
          <w:bCs/>
          <w:lang w:val="en-CA"/>
        </w:rPr>
        <w:t xml:space="preserve">), </w:t>
      </w:r>
      <w:r>
        <w:rPr>
          <w:bCs/>
          <w:lang w:val="en-CA"/>
        </w:rPr>
        <w:t>Quantum BioPharma</w:t>
      </w:r>
      <w:r w:rsidR="00AF00A5" w:rsidRPr="00CC5E6A">
        <w:rPr>
          <w:bCs/>
          <w:lang w:val="en-CA"/>
        </w:rPr>
        <w:t xml:space="preserve"> is focused on the research and development of its lead compound, Lucid-MS (formerly Lucid-21-302) (</w:t>
      </w:r>
      <w:r w:rsidR="00CC5E6A" w:rsidRPr="00CC5E6A">
        <w:rPr>
          <w:bCs/>
          <w:lang w:val="en-CA"/>
        </w:rPr>
        <w:t>“</w:t>
      </w:r>
      <w:r w:rsidR="00AF00A5" w:rsidRPr="00CC5E6A">
        <w:rPr>
          <w:b/>
          <w:bCs/>
          <w:lang w:val="en-CA"/>
        </w:rPr>
        <w:t>Lucid-MS</w:t>
      </w:r>
      <w:r w:rsidR="00CC5E6A" w:rsidRPr="00CC5E6A">
        <w:rPr>
          <w:bCs/>
          <w:lang w:val="en-CA"/>
        </w:rPr>
        <w:t>”</w:t>
      </w:r>
      <w:r w:rsidR="00AF00A5" w:rsidRPr="00CC5E6A">
        <w:rPr>
          <w:bCs/>
          <w:lang w:val="en-CA"/>
        </w:rPr>
        <w:t xml:space="preserve">). Lucid-MS is a patented new chemical entity shown to prevent and reverse myelin degradation, the underlying mechanism of multiple sclerosis, in preclinical models. </w:t>
      </w:r>
      <w:r w:rsidR="002E0C4D">
        <w:rPr>
          <w:bCs/>
          <w:lang w:val="en-CA"/>
        </w:rPr>
        <w:t>Quantum BioPharma</w:t>
      </w:r>
      <w:r w:rsidR="001348AF" w:rsidRPr="00CC5E6A">
        <w:rPr>
          <w:bCs/>
          <w:lang w:val="en-CA"/>
        </w:rPr>
        <w:t xml:space="preserve"> </w:t>
      </w:r>
      <w:r w:rsidR="00AF00A5" w:rsidRPr="00CC5E6A">
        <w:rPr>
          <w:bCs/>
          <w:lang w:val="en-CA"/>
        </w:rPr>
        <w:t xml:space="preserve">has also licensed </w:t>
      </w:r>
      <w:r w:rsidR="004D150E">
        <w:rPr>
          <w:bCs/>
          <w:lang w:val="en-CA"/>
        </w:rPr>
        <w:t>unbuzzd</w:t>
      </w:r>
      <w:r w:rsidR="00AF00A5" w:rsidRPr="00CC5E6A">
        <w:rPr>
          <w:bCs/>
          <w:lang w:val="en-CA"/>
        </w:rPr>
        <w:t>™, a proprietary formulation of natural ingredients, vitamins, and minerals to help with liver and brain function for the purposes of quickly relieving individuals from the effects of alcohol consumption for use in the consumer recreational sector, to Celly Nutrition Corp. (</w:t>
      </w:r>
      <w:r w:rsidR="00CC5E6A" w:rsidRPr="00CC5E6A">
        <w:rPr>
          <w:bCs/>
          <w:lang w:val="en-CA"/>
        </w:rPr>
        <w:t>“</w:t>
      </w:r>
      <w:r w:rsidR="00AF00A5" w:rsidRPr="00CC5E6A">
        <w:rPr>
          <w:b/>
          <w:lang w:val="en-CA"/>
        </w:rPr>
        <w:t>Celly Nu</w:t>
      </w:r>
      <w:r w:rsidR="00CC5E6A" w:rsidRPr="00CC5E6A">
        <w:rPr>
          <w:bCs/>
          <w:lang w:val="en-CA"/>
        </w:rPr>
        <w:t>”</w:t>
      </w:r>
      <w:r w:rsidR="00AF00A5" w:rsidRPr="00CC5E6A">
        <w:rPr>
          <w:bCs/>
          <w:lang w:val="en-CA"/>
        </w:rPr>
        <w:t>) and is entitled to a royalty on the revenue generated by Celly Nu from sales of products created using the technology rights granted under the licensing agreement.</w:t>
      </w:r>
      <w:r w:rsidR="002E0C4D">
        <w:rPr>
          <w:bCs/>
          <w:lang w:val="en-CA"/>
        </w:rPr>
        <w:t xml:space="preserve"> Quantum BioPharma</w:t>
      </w:r>
      <w:r w:rsidR="001348AF" w:rsidRPr="00CC5E6A">
        <w:rPr>
          <w:bCs/>
          <w:lang w:val="en-CA"/>
        </w:rPr>
        <w:t xml:space="preserve"> </w:t>
      </w:r>
      <w:r w:rsidR="00AF00A5" w:rsidRPr="00CC5E6A">
        <w:rPr>
          <w:bCs/>
          <w:lang w:val="en-CA"/>
        </w:rPr>
        <w:t xml:space="preserve">continues its R&amp;D activities to develop novel formulations for alcohol misuse disorders and continues the development of such treatments for use in the healthcare sector. </w:t>
      </w:r>
      <w:r w:rsidR="002E0C4D">
        <w:rPr>
          <w:bCs/>
          <w:lang w:val="en-CA"/>
        </w:rPr>
        <w:t xml:space="preserve">Quantum BioPharma </w:t>
      </w:r>
      <w:r w:rsidR="00AF00A5" w:rsidRPr="00CC5E6A">
        <w:rPr>
          <w:bCs/>
          <w:lang w:val="en-CA"/>
        </w:rPr>
        <w:t>maintains a portfolio of strategic investments through its wholly-owned subsidiary, FSD Strategic Investments Inc., which represent loans secured by residential or commercial property.</w:t>
      </w:r>
    </w:p>
    <w:p w14:paraId="154681E5" w14:textId="77777777" w:rsidR="00F21191" w:rsidRPr="00CC5E6A" w:rsidRDefault="00F21191" w:rsidP="00F21191">
      <w:pPr>
        <w:ind w:firstLine="0"/>
      </w:pPr>
    </w:p>
    <w:p w14:paraId="4CF1FCCA" w14:textId="77777777" w:rsidR="00F21191" w:rsidRPr="00CC5E6A" w:rsidRDefault="00AF00A5" w:rsidP="00F21191">
      <w:pPr>
        <w:ind w:firstLine="0"/>
        <w:rPr>
          <w:b/>
          <w:bCs/>
        </w:rPr>
      </w:pPr>
      <w:r w:rsidRPr="00CC5E6A">
        <w:rPr>
          <w:b/>
          <w:bCs/>
        </w:rPr>
        <w:t>Cautionary Note Regarding Forward-Looking Information</w:t>
      </w:r>
    </w:p>
    <w:p w14:paraId="7A7BBFF9" w14:textId="77777777" w:rsidR="00F21191" w:rsidRPr="00CC5E6A" w:rsidRDefault="00F21191" w:rsidP="00F21191">
      <w:pPr>
        <w:ind w:firstLine="0"/>
      </w:pPr>
    </w:p>
    <w:p w14:paraId="7880B78D" w14:textId="21C7D19F" w:rsidR="00847849" w:rsidRPr="00847849" w:rsidRDefault="00AF00A5" w:rsidP="00847849">
      <w:pPr>
        <w:ind w:firstLine="0"/>
        <w:rPr>
          <w:i/>
          <w:iCs/>
        </w:rPr>
      </w:pPr>
      <w:r w:rsidRPr="00847849">
        <w:rPr>
          <w:i/>
          <w:iCs/>
        </w:rPr>
        <w:lastRenderedPageBreak/>
        <w:t xml:space="preserve">This press release contains forward-looking statements and forward-looking information (collectively, </w:t>
      </w:r>
      <w:r w:rsidR="00CC5E6A" w:rsidRPr="00CC5E6A">
        <w:rPr>
          <w:i/>
          <w:iCs/>
        </w:rPr>
        <w:t>“</w:t>
      </w:r>
      <w:r w:rsidRPr="00847849">
        <w:rPr>
          <w:i/>
          <w:iCs/>
        </w:rPr>
        <w:t>forward-looking statements</w:t>
      </w:r>
      <w:r w:rsidR="00CC5E6A" w:rsidRPr="00CC5E6A">
        <w:rPr>
          <w:i/>
          <w:iCs/>
        </w:rPr>
        <w:t>”</w:t>
      </w:r>
      <w:r w:rsidRPr="00847849">
        <w:rPr>
          <w:i/>
          <w:iCs/>
        </w:rPr>
        <w:t xml:space="preserve">) within the meaning of applicable securities laws. Any statements that are contained in this press release that are not statements of historical fact may be deemed to be forward-looking statements. Forward-looking statements are often identified by terms such as </w:t>
      </w:r>
      <w:r w:rsidR="00CC5E6A" w:rsidRPr="00CC5E6A">
        <w:rPr>
          <w:i/>
          <w:iCs/>
        </w:rPr>
        <w:t>“</w:t>
      </w:r>
      <w:r w:rsidRPr="00847849">
        <w:rPr>
          <w:i/>
          <w:iCs/>
        </w:rPr>
        <w:t>plans</w:t>
      </w:r>
      <w:r w:rsidR="00CC5E6A" w:rsidRPr="00CC5E6A">
        <w:rPr>
          <w:i/>
          <w:iCs/>
        </w:rPr>
        <w:t>”</w:t>
      </w:r>
      <w:r w:rsidRPr="00847849">
        <w:rPr>
          <w:i/>
          <w:iCs/>
        </w:rPr>
        <w:t xml:space="preserve">, </w:t>
      </w:r>
      <w:r w:rsidR="00CC5E6A" w:rsidRPr="00CC5E6A">
        <w:rPr>
          <w:i/>
          <w:iCs/>
        </w:rPr>
        <w:t>“</w:t>
      </w:r>
      <w:r w:rsidRPr="00847849">
        <w:rPr>
          <w:i/>
          <w:iCs/>
        </w:rPr>
        <w:t>expects</w:t>
      </w:r>
      <w:r w:rsidR="00CC5E6A" w:rsidRPr="00CC5E6A">
        <w:rPr>
          <w:i/>
          <w:iCs/>
        </w:rPr>
        <w:t>”</w:t>
      </w:r>
      <w:r w:rsidRPr="00847849">
        <w:rPr>
          <w:i/>
          <w:iCs/>
        </w:rPr>
        <w:t xml:space="preserve">, </w:t>
      </w:r>
      <w:r w:rsidR="00CC5E6A" w:rsidRPr="00CC5E6A">
        <w:rPr>
          <w:i/>
          <w:iCs/>
        </w:rPr>
        <w:t>“</w:t>
      </w:r>
      <w:r w:rsidRPr="00847849">
        <w:rPr>
          <w:i/>
          <w:iCs/>
        </w:rPr>
        <w:t>expected</w:t>
      </w:r>
      <w:r w:rsidR="00CC5E6A" w:rsidRPr="00CC5E6A">
        <w:rPr>
          <w:i/>
          <w:iCs/>
        </w:rPr>
        <w:t>”</w:t>
      </w:r>
      <w:r w:rsidRPr="00847849">
        <w:rPr>
          <w:i/>
          <w:iCs/>
        </w:rPr>
        <w:t xml:space="preserve">, </w:t>
      </w:r>
      <w:r w:rsidR="00CC5E6A" w:rsidRPr="00CC5E6A">
        <w:rPr>
          <w:i/>
          <w:iCs/>
        </w:rPr>
        <w:t>“</w:t>
      </w:r>
      <w:r w:rsidRPr="00847849">
        <w:rPr>
          <w:i/>
          <w:iCs/>
        </w:rPr>
        <w:t>scheduled</w:t>
      </w:r>
      <w:r w:rsidR="00CC5E6A" w:rsidRPr="00CC5E6A">
        <w:rPr>
          <w:i/>
          <w:iCs/>
        </w:rPr>
        <w:t>”</w:t>
      </w:r>
      <w:r w:rsidRPr="00847849">
        <w:rPr>
          <w:i/>
          <w:iCs/>
        </w:rPr>
        <w:t xml:space="preserve">, </w:t>
      </w:r>
      <w:r w:rsidR="00CC5E6A" w:rsidRPr="00CC5E6A">
        <w:rPr>
          <w:i/>
          <w:iCs/>
        </w:rPr>
        <w:t>“</w:t>
      </w:r>
      <w:r w:rsidRPr="00847849">
        <w:rPr>
          <w:i/>
          <w:iCs/>
        </w:rPr>
        <w:t>estimates</w:t>
      </w:r>
      <w:r w:rsidR="00CC5E6A" w:rsidRPr="00CC5E6A">
        <w:rPr>
          <w:i/>
          <w:iCs/>
        </w:rPr>
        <w:t>”</w:t>
      </w:r>
      <w:r w:rsidRPr="00847849">
        <w:rPr>
          <w:i/>
          <w:iCs/>
        </w:rPr>
        <w:t xml:space="preserve">, </w:t>
      </w:r>
      <w:r w:rsidR="00CC5E6A" w:rsidRPr="00CC5E6A">
        <w:rPr>
          <w:i/>
          <w:iCs/>
        </w:rPr>
        <w:t>“</w:t>
      </w:r>
      <w:r w:rsidRPr="00847849">
        <w:rPr>
          <w:i/>
          <w:iCs/>
        </w:rPr>
        <w:t>intends</w:t>
      </w:r>
      <w:r w:rsidR="00CC5E6A" w:rsidRPr="00CC5E6A">
        <w:rPr>
          <w:i/>
          <w:iCs/>
        </w:rPr>
        <w:t>”</w:t>
      </w:r>
      <w:r w:rsidRPr="00847849">
        <w:rPr>
          <w:i/>
          <w:iCs/>
        </w:rPr>
        <w:t xml:space="preserve">, </w:t>
      </w:r>
      <w:r w:rsidR="00CC5E6A" w:rsidRPr="00CC5E6A">
        <w:rPr>
          <w:i/>
          <w:iCs/>
        </w:rPr>
        <w:t>“</w:t>
      </w:r>
      <w:r w:rsidRPr="00847849">
        <w:rPr>
          <w:i/>
          <w:iCs/>
        </w:rPr>
        <w:t>anticipates</w:t>
      </w:r>
      <w:r w:rsidR="00CC5E6A" w:rsidRPr="00CC5E6A">
        <w:rPr>
          <w:i/>
          <w:iCs/>
        </w:rPr>
        <w:t>”</w:t>
      </w:r>
      <w:r w:rsidRPr="00847849">
        <w:rPr>
          <w:i/>
          <w:iCs/>
        </w:rPr>
        <w:t xml:space="preserve">, </w:t>
      </w:r>
      <w:r w:rsidR="00CC5E6A" w:rsidRPr="00CC5E6A">
        <w:rPr>
          <w:i/>
          <w:iCs/>
        </w:rPr>
        <w:t>“</w:t>
      </w:r>
      <w:r w:rsidRPr="00847849">
        <w:rPr>
          <w:i/>
          <w:iCs/>
        </w:rPr>
        <w:t>hopes</w:t>
      </w:r>
      <w:r w:rsidR="00CC5E6A" w:rsidRPr="00CC5E6A">
        <w:rPr>
          <w:i/>
          <w:iCs/>
        </w:rPr>
        <w:t>”</w:t>
      </w:r>
      <w:r w:rsidRPr="00847849">
        <w:rPr>
          <w:i/>
          <w:iCs/>
        </w:rPr>
        <w:t xml:space="preserve">, </w:t>
      </w:r>
      <w:r w:rsidR="00CC5E6A" w:rsidRPr="00CC5E6A">
        <w:rPr>
          <w:i/>
          <w:iCs/>
        </w:rPr>
        <w:t>“</w:t>
      </w:r>
      <w:r w:rsidRPr="00847849">
        <w:rPr>
          <w:i/>
          <w:iCs/>
        </w:rPr>
        <w:t>planned</w:t>
      </w:r>
      <w:r w:rsidR="00CC5E6A" w:rsidRPr="00CC5E6A">
        <w:rPr>
          <w:i/>
          <w:iCs/>
        </w:rPr>
        <w:t>”</w:t>
      </w:r>
      <w:r w:rsidRPr="00847849">
        <w:rPr>
          <w:i/>
          <w:iCs/>
        </w:rPr>
        <w:t xml:space="preserve"> or </w:t>
      </w:r>
      <w:r w:rsidR="00CC5E6A" w:rsidRPr="00CC5E6A">
        <w:rPr>
          <w:i/>
          <w:iCs/>
        </w:rPr>
        <w:t>“</w:t>
      </w:r>
      <w:r w:rsidRPr="00847849">
        <w:rPr>
          <w:i/>
          <w:iCs/>
        </w:rPr>
        <w:t>believes</w:t>
      </w:r>
      <w:r w:rsidR="00CC5E6A" w:rsidRPr="00CC5E6A">
        <w:rPr>
          <w:i/>
          <w:iCs/>
        </w:rPr>
        <w:t>”</w:t>
      </w:r>
      <w:r w:rsidRPr="00847849">
        <w:rPr>
          <w:i/>
          <w:iCs/>
        </w:rPr>
        <w:t xml:space="preserve">, or variations of such words and phrases, or states that certain actions, events or results </w:t>
      </w:r>
      <w:r w:rsidR="00CC5E6A" w:rsidRPr="00CC5E6A">
        <w:rPr>
          <w:i/>
          <w:iCs/>
        </w:rPr>
        <w:t>“</w:t>
      </w:r>
      <w:r w:rsidRPr="00847849">
        <w:rPr>
          <w:i/>
          <w:iCs/>
        </w:rPr>
        <w:t>may</w:t>
      </w:r>
      <w:r w:rsidR="00CC5E6A" w:rsidRPr="00CC5E6A">
        <w:rPr>
          <w:i/>
          <w:iCs/>
        </w:rPr>
        <w:t>”</w:t>
      </w:r>
      <w:r w:rsidRPr="00847849">
        <w:rPr>
          <w:i/>
          <w:iCs/>
        </w:rPr>
        <w:t xml:space="preserve">, </w:t>
      </w:r>
      <w:r w:rsidR="00CC5E6A" w:rsidRPr="00CC5E6A">
        <w:rPr>
          <w:i/>
          <w:iCs/>
        </w:rPr>
        <w:t>“</w:t>
      </w:r>
      <w:r w:rsidRPr="00847849">
        <w:rPr>
          <w:i/>
          <w:iCs/>
        </w:rPr>
        <w:t>could</w:t>
      </w:r>
      <w:r w:rsidR="00CC5E6A" w:rsidRPr="00CC5E6A">
        <w:rPr>
          <w:i/>
          <w:iCs/>
        </w:rPr>
        <w:t>”</w:t>
      </w:r>
      <w:r w:rsidRPr="00847849">
        <w:rPr>
          <w:i/>
          <w:iCs/>
        </w:rPr>
        <w:t xml:space="preserve">, </w:t>
      </w:r>
      <w:r w:rsidR="00CC5E6A" w:rsidRPr="00CC5E6A">
        <w:rPr>
          <w:i/>
          <w:iCs/>
        </w:rPr>
        <w:t>“</w:t>
      </w:r>
      <w:r w:rsidRPr="00847849">
        <w:rPr>
          <w:i/>
          <w:iCs/>
        </w:rPr>
        <w:t>would</w:t>
      </w:r>
      <w:r w:rsidR="00CC5E6A" w:rsidRPr="00CC5E6A">
        <w:rPr>
          <w:i/>
          <w:iCs/>
        </w:rPr>
        <w:t>”</w:t>
      </w:r>
      <w:r w:rsidRPr="00847849">
        <w:rPr>
          <w:i/>
          <w:iCs/>
        </w:rPr>
        <w:t xml:space="preserve">, </w:t>
      </w:r>
      <w:r w:rsidR="00CC5E6A" w:rsidRPr="00CC5E6A">
        <w:rPr>
          <w:i/>
          <w:iCs/>
        </w:rPr>
        <w:t>“</w:t>
      </w:r>
      <w:r w:rsidRPr="00847849">
        <w:rPr>
          <w:i/>
          <w:iCs/>
        </w:rPr>
        <w:t>might</w:t>
      </w:r>
      <w:r w:rsidR="00CC5E6A" w:rsidRPr="00CC5E6A">
        <w:rPr>
          <w:i/>
          <w:iCs/>
        </w:rPr>
        <w:t>”</w:t>
      </w:r>
      <w:r w:rsidRPr="00847849">
        <w:rPr>
          <w:i/>
          <w:iCs/>
        </w:rPr>
        <w:t xml:space="preserve">, </w:t>
      </w:r>
      <w:r w:rsidR="00CC5E6A" w:rsidRPr="00CC5E6A">
        <w:rPr>
          <w:i/>
          <w:iCs/>
        </w:rPr>
        <w:t>“</w:t>
      </w:r>
      <w:r w:rsidRPr="00847849">
        <w:rPr>
          <w:i/>
          <w:iCs/>
        </w:rPr>
        <w:t>potentially</w:t>
      </w:r>
      <w:r w:rsidR="00CC5E6A" w:rsidRPr="00CC5E6A">
        <w:rPr>
          <w:i/>
          <w:iCs/>
        </w:rPr>
        <w:t>”</w:t>
      </w:r>
      <w:r w:rsidRPr="00847849">
        <w:rPr>
          <w:i/>
          <w:iCs/>
        </w:rPr>
        <w:t xml:space="preserve"> or </w:t>
      </w:r>
      <w:r w:rsidR="00CC5E6A" w:rsidRPr="00CC5E6A">
        <w:rPr>
          <w:i/>
          <w:iCs/>
        </w:rPr>
        <w:t>“</w:t>
      </w:r>
      <w:r w:rsidRPr="00847849">
        <w:rPr>
          <w:i/>
          <w:iCs/>
        </w:rPr>
        <w:t>will</w:t>
      </w:r>
      <w:r w:rsidR="00CC5E6A" w:rsidRPr="00CC5E6A">
        <w:rPr>
          <w:i/>
          <w:iCs/>
        </w:rPr>
        <w:t>”</w:t>
      </w:r>
      <w:r w:rsidRPr="00847849">
        <w:rPr>
          <w:i/>
          <w:iCs/>
        </w:rPr>
        <w:t xml:space="preserve"> be taken, occur or be achieved. More particularly, and without limitation, this press release contains forward-looking statements contained in this press release include statements concerning the future of </w:t>
      </w:r>
      <w:r w:rsidR="00593122">
        <w:rPr>
          <w:i/>
          <w:iCs/>
        </w:rPr>
        <w:t>Quantum BioPharma</w:t>
      </w:r>
      <w:r w:rsidRPr="00847849">
        <w:rPr>
          <w:i/>
          <w:iCs/>
        </w:rPr>
        <w:t xml:space="preserve"> and are based on certain assumptions that </w:t>
      </w:r>
      <w:r w:rsidR="005127F8">
        <w:rPr>
          <w:i/>
          <w:iCs/>
        </w:rPr>
        <w:t>Quantum BioPharma</w:t>
      </w:r>
      <w:r w:rsidRPr="00847849">
        <w:rPr>
          <w:i/>
          <w:iCs/>
        </w:rPr>
        <w:t xml:space="preserve"> has made in respect thereof as of the date of this press release</w:t>
      </w:r>
      <w:r w:rsidRPr="00CC5E6A">
        <w:rPr>
          <w:i/>
          <w:iCs/>
        </w:rPr>
        <w:t>, including those relating to future sales of Class B Shares under the ATM Offering, the offering price therefor and the use of proceeds thereof</w:t>
      </w:r>
      <w:r w:rsidRPr="00847849">
        <w:rPr>
          <w:i/>
          <w:iCs/>
        </w:rPr>
        <w:t xml:space="preserve">. </w:t>
      </w:r>
      <w:r w:rsidR="005127F8">
        <w:rPr>
          <w:i/>
          <w:iCs/>
        </w:rPr>
        <w:t>Quantum BioPharma</w:t>
      </w:r>
      <w:r w:rsidRPr="00847849">
        <w:rPr>
          <w:i/>
          <w:iCs/>
        </w:rPr>
        <w:t xml:space="preserve"> cannot give any assurance that such forward-looking statements will prove to have been correct. </w:t>
      </w:r>
    </w:p>
    <w:p w14:paraId="7D0EA56A" w14:textId="77777777" w:rsidR="00847849" w:rsidRPr="00847849" w:rsidRDefault="00847849" w:rsidP="00847849">
      <w:pPr>
        <w:ind w:firstLine="0"/>
        <w:rPr>
          <w:i/>
          <w:iCs/>
        </w:rPr>
      </w:pPr>
    </w:p>
    <w:p w14:paraId="35ECC3D4" w14:textId="77777777" w:rsidR="00847849" w:rsidRPr="00847849" w:rsidRDefault="00AF00A5" w:rsidP="00847849">
      <w:pPr>
        <w:ind w:firstLine="0"/>
        <w:rPr>
          <w:i/>
          <w:iCs/>
        </w:rPr>
      </w:pPr>
      <w:r w:rsidRPr="00847849">
        <w:rPr>
          <w:i/>
          <w:iCs/>
        </w:rPr>
        <w:t>Since forward-looking statements relate to future events and conditions, by their very nature they require making assumptions and involve inherent risks and uncertainties. The Company cautions that although it believes the expectations and material factors and assumptions reflected in these forward-looking statements are reasonable as of the date hereof, there can be no assurance that these expectations, factors and assumptions will prove to be correct and these risks and uncertainties give rise to the possibility that actual results may differ materially from the expectations set out in the forward-looking statements. These forward-looking statements are not guarantees of future performance and are subject to a number of known and unknown risks and uncertainties including, but not limited to: the timing and ability to satisfy all applicable listing and regulatory requirements of the CSE and Nasdaq; the fact that the drug development efforts of the Company and Lucid are at a very early stage; the fact that preclinical drug development is uncertain, and the drug product candidates of the Company and Lucid may never advance to clinical trials; the fact that results of preclinical studies and early-stage clinical trials may not be predictive of the results of later stage clinical trials; the uncertain outcome, cost, and timing of product development activities, preclinical studies and clinical trials of the Company and Lucid; the uncertain clinical development process, including the risk that clinical trials may not have an effective design or generate positive results; the potential inability to obtain or maintain regulatory approval of the drug product candidates of the Company and Lucid; the introduction of competing drugs that are safer, more effective or less expensive than, or otherwise superior to, the drug product candidates of the Company and Lucid; the initiation, conduct, and completion of preclinical studies and clinical trials may be delayed, adversely affected or impacted by unforeseen issues; the potential inability to obtain adequate financing; the potential inability to obtain or maintain intellectual property protection for the drug product candidates of the Company and Lucid</w:t>
      </w:r>
      <w:r w:rsidRPr="00CC5E6A">
        <w:rPr>
          <w:i/>
          <w:iCs/>
        </w:rPr>
        <w:t xml:space="preserve">; the inability of the Company to </w:t>
      </w:r>
      <w:r w:rsidR="00CC5E6A" w:rsidRPr="00CC5E6A">
        <w:rPr>
          <w:i/>
          <w:iCs/>
        </w:rPr>
        <w:t>sell under</w:t>
      </w:r>
      <w:r w:rsidRPr="00CC5E6A">
        <w:rPr>
          <w:i/>
          <w:iCs/>
        </w:rPr>
        <w:t xml:space="preserve"> the ATM Offering</w:t>
      </w:r>
      <w:r w:rsidR="00CC5E6A" w:rsidRPr="00CC5E6A">
        <w:rPr>
          <w:i/>
          <w:iCs/>
        </w:rPr>
        <w:t xml:space="preserve"> or upon the terms outlined herein</w:t>
      </w:r>
      <w:r w:rsidR="00BD2E57">
        <w:rPr>
          <w:i/>
          <w:iCs/>
        </w:rPr>
        <w:t>;</w:t>
      </w:r>
      <w:r w:rsidR="00781618">
        <w:rPr>
          <w:i/>
          <w:iCs/>
        </w:rPr>
        <w:t xml:space="preserve"> the prices </w:t>
      </w:r>
      <w:r w:rsidR="00076E07">
        <w:rPr>
          <w:i/>
          <w:iCs/>
        </w:rPr>
        <w:t>at which the Company may sell the Class B Shares in the ATM Offering</w:t>
      </w:r>
      <w:r w:rsidR="00CC5E6A" w:rsidRPr="00CC5E6A">
        <w:rPr>
          <w:i/>
          <w:iCs/>
        </w:rPr>
        <w:t xml:space="preserve">; </w:t>
      </w:r>
      <w:r w:rsidRPr="00847849">
        <w:rPr>
          <w:i/>
          <w:iCs/>
        </w:rPr>
        <w:t>and other risks. Accordingly, readers should not place undue reliance on the forward-looking statements contained in this press release, which speak only as of the date of this press release.</w:t>
      </w:r>
    </w:p>
    <w:p w14:paraId="57215A48" w14:textId="77777777" w:rsidR="00847849" w:rsidRPr="00847849" w:rsidRDefault="00847849" w:rsidP="00847849">
      <w:pPr>
        <w:ind w:firstLine="0"/>
        <w:rPr>
          <w:i/>
          <w:iCs/>
        </w:rPr>
      </w:pPr>
    </w:p>
    <w:p w14:paraId="359153D3" w14:textId="04A231E9" w:rsidR="00847849" w:rsidRPr="00847849" w:rsidRDefault="00AF00A5" w:rsidP="00847849">
      <w:pPr>
        <w:ind w:firstLine="0"/>
        <w:rPr>
          <w:i/>
          <w:iCs/>
        </w:rPr>
      </w:pPr>
      <w:r w:rsidRPr="00847849">
        <w:rPr>
          <w:i/>
          <w:iCs/>
        </w:rPr>
        <w:t>Further information regarding factors that may cause actual results to differ materially are included in the Company</w:t>
      </w:r>
      <w:r w:rsidR="00CC5E6A" w:rsidRPr="00CC5E6A">
        <w:rPr>
          <w:i/>
          <w:iCs/>
        </w:rPr>
        <w:t>’</w:t>
      </w:r>
      <w:r w:rsidRPr="00847849">
        <w:rPr>
          <w:i/>
          <w:iCs/>
        </w:rPr>
        <w:t>s annual and other reports filed from time to time with the Canadian Securities Administrators on SEDAR+ (</w:t>
      </w:r>
      <w:hyperlink r:id="rId10" w:history="1">
        <w:r w:rsidRPr="00847849">
          <w:rPr>
            <w:rStyle w:val="Hyperlink"/>
            <w:i/>
            <w:iCs/>
          </w:rPr>
          <w:t>www.sedarplus.ca</w:t>
        </w:r>
      </w:hyperlink>
      <w:r w:rsidRPr="00847849">
        <w:rPr>
          <w:i/>
          <w:iCs/>
        </w:rPr>
        <w:t xml:space="preserve">) and with the SEC on EDGAR </w:t>
      </w:r>
      <w:r w:rsidRPr="00847849">
        <w:rPr>
          <w:i/>
          <w:iCs/>
        </w:rPr>
        <w:lastRenderedPageBreak/>
        <w:t>(</w:t>
      </w:r>
      <w:hyperlink r:id="rId11" w:history="1">
        <w:r w:rsidRPr="00847849">
          <w:rPr>
            <w:rStyle w:val="Hyperlink"/>
            <w:i/>
            <w:iCs/>
          </w:rPr>
          <w:t>www.sec.gov</w:t>
        </w:r>
      </w:hyperlink>
      <w:r w:rsidRPr="00847849">
        <w:rPr>
          <w:i/>
          <w:iCs/>
        </w:rPr>
        <w:t>), including the Company</w:t>
      </w:r>
      <w:r w:rsidR="00CC5E6A" w:rsidRPr="00CC5E6A">
        <w:rPr>
          <w:i/>
          <w:iCs/>
        </w:rPr>
        <w:t>’</w:t>
      </w:r>
      <w:r w:rsidRPr="00847849">
        <w:rPr>
          <w:i/>
          <w:iCs/>
        </w:rPr>
        <w:t>s Annual Report on Form 20-F for the fiscal year ended December 31, 202</w:t>
      </w:r>
      <w:r w:rsidR="0050746A">
        <w:rPr>
          <w:i/>
          <w:iCs/>
        </w:rPr>
        <w:t>3</w:t>
      </w:r>
      <w:r w:rsidRPr="00847849">
        <w:rPr>
          <w:i/>
          <w:iCs/>
        </w:rPr>
        <w:t xml:space="preserve">, the Prospectus and Registration Statement, each under the heading </w:t>
      </w:r>
      <w:r w:rsidR="00CC5E6A" w:rsidRPr="00CC5E6A">
        <w:rPr>
          <w:i/>
          <w:iCs/>
        </w:rPr>
        <w:t>“</w:t>
      </w:r>
      <w:r w:rsidRPr="00847849">
        <w:rPr>
          <w:i/>
          <w:iCs/>
        </w:rPr>
        <w:t>Risk Factors</w:t>
      </w:r>
      <w:r w:rsidR="00CC5E6A" w:rsidRPr="00CC5E6A">
        <w:rPr>
          <w:i/>
          <w:iCs/>
        </w:rPr>
        <w:t>”</w:t>
      </w:r>
      <w:r w:rsidRPr="00847849">
        <w:rPr>
          <w:i/>
          <w:iCs/>
        </w:rPr>
        <w:t xml:space="preserve">. This list of risk factors should not be construed as exhaustive. Readers are cautioned that events or circumstances could cause results to differ materially from those predicted, forecasted or projected. The forward-looking statements contained in this document speak only as of the date of this document. </w:t>
      </w:r>
      <w:r w:rsidR="005127F8">
        <w:rPr>
          <w:i/>
          <w:iCs/>
        </w:rPr>
        <w:t>Quantum BioPharma</w:t>
      </w:r>
      <w:r w:rsidRPr="00847849">
        <w:rPr>
          <w:i/>
          <w:iCs/>
        </w:rPr>
        <w:t xml:space="preserve"> does not undertake any obligation to publicly update or revise any forward-looking statements or information contained herein, except as required by applicable laws. The forward-looking statements contained in this document are expressly qualified by this cautionary statement. </w:t>
      </w:r>
    </w:p>
    <w:p w14:paraId="23498D10" w14:textId="77777777" w:rsidR="00847849" w:rsidRPr="00847849" w:rsidRDefault="00847849" w:rsidP="00847849">
      <w:pPr>
        <w:ind w:firstLine="0"/>
      </w:pPr>
    </w:p>
    <w:p w14:paraId="57B55642" w14:textId="77777777" w:rsidR="00847849" w:rsidRPr="00847849" w:rsidRDefault="00AF00A5" w:rsidP="00847849">
      <w:pPr>
        <w:ind w:firstLine="0"/>
        <w:rPr>
          <w:i/>
          <w:iCs/>
        </w:rPr>
      </w:pPr>
      <w:r w:rsidRPr="00847849">
        <w:rPr>
          <w:i/>
          <w:iCs/>
        </w:rPr>
        <w:t xml:space="preserve">Neither the </w:t>
      </w:r>
      <w:r w:rsidR="00CC5E6A">
        <w:rPr>
          <w:i/>
          <w:iCs/>
        </w:rPr>
        <w:t>CSE</w:t>
      </w:r>
      <w:r w:rsidRPr="00847849">
        <w:rPr>
          <w:i/>
          <w:iCs/>
        </w:rPr>
        <w:t xml:space="preserve"> nor its regulation services provider accept responsibility for the adequacy or accuracy of this release.</w:t>
      </w:r>
    </w:p>
    <w:p w14:paraId="62BB0BB3" w14:textId="77777777" w:rsidR="00F21191" w:rsidRPr="00CC5E6A" w:rsidRDefault="00F21191" w:rsidP="00F21191">
      <w:pPr>
        <w:ind w:firstLine="0"/>
      </w:pPr>
    </w:p>
    <w:p w14:paraId="3CBCB72E" w14:textId="77777777"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7FC719DE"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2"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3" w:history="1">
        <w:r w:rsidR="00156EBD" w:rsidRPr="001A4655">
          <w:rPr>
            <w:rStyle w:val="Hyperlink"/>
          </w:rPr>
          <w:t>ir@quantumbiopharma.com</w:t>
        </w:r>
      </w:hyperlink>
      <w:r w:rsidRPr="00CC5E6A">
        <w:t xml:space="preserve">, </w:t>
      </w:r>
      <w:hyperlink r:id="rId14" w:history="1">
        <w:r w:rsidR="00156EBD" w:rsidRPr="001A4655">
          <w:rPr>
            <w:rStyle w:val="Hyperlink"/>
          </w:rPr>
          <w:t>info@quantumbiopharma.com</w:t>
        </w:r>
      </w:hyperlink>
      <w:r w:rsidR="002B032C">
        <w:t xml:space="preserve"> </w:t>
      </w:r>
    </w:p>
    <w:p w14:paraId="0900C624" w14:textId="23085185" w:rsidR="00F21191" w:rsidRPr="00CC5E6A" w:rsidRDefault="00AF00A5" w:rsidP="00F21191">
      <w:pPr>
        <w:ind w:firstLine="0"/>
      </w:pPr>
      <w:r w:rsidRPr="00CC5E6A">
        <w:t xml:space="preserve">Website: </w:t>
      </w:r>
      <w:hyperlink r:id="rId15" w:history="1">
        <w:r w:rsidR="003C2FA8" w:rsidRPr="001A4655">
          <w:rPr>
            <w:rStyle w:val="Hyperlink"/>
          </w:rPr>
          <w:t>www.quantumbiopharma.com</w:t>
        </w:r>
      </w:hyperlink>
      <w:r w:rsidR="002B032C">
        <w:t xml:space="preserve"> </w:t>
      </w:r>
    </w:p>
    <w:sectPr w:rsidR="00F21191" w:rsidRPr="00CC5E6A">
      <w:footerReference w:type="even"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A4190" w14:textId="77777777" w:rsidR="006816CE" w:rsidRDefault="006816CE">
      <w:r>
        <w:separator/>
      </w:r>
    </w:p>
  </w:endnote>
  <w:endnote w:type="continuationSeparator" w:id="0">
    <w:p w14:paraId="45CCEF40" w14:textId="77777777" w:rsidR="006816CE" w:rsidRDefault="0068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9AF8B" w14:textId="77777777" w:rsidR="006816CE" w:rsidRDefault="006816CE">
      <w:r>
        <w:separator/>
      </w:r>
    </w:p>
  </w:footnote>
  <w:footnote w:type="continuationSeparator" w:id="0">
    <w:p w14:paraId="5ECC2F9A" w14:textId="77777777" w:rsidR="006816CE" w:rsidRDefault="006816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4107"/>
    <w:rsid w:val="00011D85"/>
    <w:rsid w:val="00012EA2"/>
    <w:rsid w:val="000133E2"/>
    <w:rsid w:val="00016D9E"/>
    <w:rsid w:val="000178B2"/>
    <w:rsid w:val="0002180C"/>
    <w:rsid w:val="0002279A"/>
    <w:rsid w:val="000255D3"/>
    <w:rsid w:val="00025918"/>
    <w:rsid w:val="00025C2C"/>
    <w:rsid w:val="00031F7C"/>
    <w:rsid w:val="00032D80"/>
    <w:rsid w:val="00033158"/>
    <w:rsid w:val="000334B1"/>
    <w:rsid w:val="00037838"/>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157A"/>
    <w:rsid w:val="0008172B"/>
    <w:rsid w:val="0008184D"/>
    <w:rsid w:val="00084081"/>
    <w:rsid w:val="00085C96"/>
    <w:rsid w:val="000879B9"/>
    <w:rsid w:val="00090A18"/>
    <w:rsid w:val="00093959"/>
    <w:rsid w:val="000A0FF0"/>
    <w:rsid w:val="000A1581"/>
    <w:rsid w:val="000A2DB1"/>
    <w:rsid w:val="000A424F"/>
    <w:rsid w:val="000A43D2"/>
    <w:rsid w:val="000A4B77"/>
    <w:rsid w:val="000A4B96"/>
    <w:rsid w:val="000A6B22"/>
    <w:rsid w:val="000B2BE1"/>
    <w:rsid w:val="000B39BD"/>
    <w:rsid w:val="000C115B"/>
    <w:rsid w:val="000C117F"/>
    <w:rsid w:val="000C2051"/>
    <w:rsid w:val="000D0C03"/>
    <w:rsid w:val="000D30F7"/>
    <w:rsid w:val="000D314D"/>
    <w:rsid w:val="000D38FA"/>
    <w:rsid w:val="000D52FA"/>
    <w:rsid w:val="000E0A40"/>
    <w:rsid w:val="000E4BBC"/>
    <w:rsid w:val="000F5A7B"/>
    <w:rsid w:val="00100CB2"/>
    <w:rsid w:val="00103430"/>
    <w:rsid w:val="00104DFA"/>
    <w:rsid w:val="001051C0"/>
    <w:rsid w:val="001057A5"/>
    <w:rsid w:val="00106F69"/>
    <w:rsid w:val="00110367"/>
    <w:rsid w:val="00121A9A"/>
    <w:rsid w:val="00123BAC"/>
    <w:rsid w:val="00124269"/>
    <w:rsid w:val="001264CB"/>
    <w:rsid w:val="001268EB"/>
    <w:rsid w:val="00127F3F"/>
    <w:rsid w:val="00130B0D"/>
    <w:rsid w:val="00130DDF"/>
    <w:rsid w:val="00132430"/>
    <w:rsid w:val="001348AF"/>
    <w:rsid w:val="00136B28"/>
    <w:rsid w:val="00136BB1"/>
    <w:rsid w:val="00140940"/>
    <w:rsid w:val="00142F19"/>
    <w:rsid w:val="0014542A"/>
    <w:rsid w:val="00154575"/>
    <w:rsid w:val="00155851"/>
    <w:rsid w:val="00155A98"/>
    <w:rsid w:val="00155DC9"/>
    <w:rsid w:val="00156EBD"/>
    <w:rsid w:val="00162759"/>
    <w:rsid w:val="0016445A"/>
    <w:rsid w:val="001662CA"/>
    <w:rsid w:val="001666BF"/>
    <w:rsid w:val="00166D6A"/>
    <w:rsid w:val="00172E29"/>
    <w:rsid w:val="00175C2F"/>
    <w:rsid w:val="00176680"/>
    <w:rsid w:val="001771CE"/>
    <w:rsid w:val="00180EAD"/>
    <w:rsid w:val="0018106A"/>
    <w:rsid w:val="001830CB"/>
    <w:rsid w:val="001925C5"/>
    <w:rsid w:val="001934F2"/>
    <w:rsid w:val="0019408D"/>
    <w:rsid w:val="00195124"/>
    <w:rsid w:val="00195E3A"/>
    <w:rsid w:val="0019619A"/>
    <w:rsid w:val="001A01D5"/>
    <w:rsid w:val="001A1A19"/>
    <w:rsid w:val="001A31FD"/>
    <w:rsid w:val="001A492D"/>
    <w:rsid w:val="001B3018"/>
    <w:rsid w:val="001B4BEB"/>
    <w:rsid w:val="001B776B"/>
    <w:rsid w:val="001C1C33"/>
    <w:rsid w:val="001C2AF0"/>
    <w:rsid w:val="001C319F"/>
    <w:rsid w:val="001C5EEB"/>
    <w:rsid w:val="001C60C6"/>
    <w:rsid w:val="001C632A"/>
    <w:rsid w:val="001C66E4"/>
    <w:rsid w:val="001D134B"/>
    <w:rsid w:val="001D1A62"/>
    <w:rsid w:val="001D33A1"/>
    <w:rsid w:val="001D5FEF"/>
    <w:rsid w:val="001D7674"/>
    <w:rsid w:val="001E048E"/>
    <w:rsid w:val="001E0C67"/>
    <w:rsid w:val="001E7A4B"/>
    <w:rsid w:val="001F0FCA"/>
    <w:rsid w:val="001F1E1C"/>
    <w:rsid w:val="001F393A"/>
    <w:rsid w:val="001F460D"/>
    <w:rsid w:val="001F7975"/>
    <w:rsid w:val="00201872"/>
    <w:rsid w:val="00201E65"/>
    <w:rsid w:val="00202144"/>
    <w:rsid w:val="00202784"/>
    <w:rsid w:val="00203BD5"/>
    <w:rsid w:val="002048D0"/>
    <w:rsid w:val="00206039"/>
    <w:rsid w:val="00207360"/>
    <w:rsid w:val="002110CB"/>
    <w:rsid w:val="00211C1B"/>
    <w:rsid w:val="00223FF3"/>
    <w:rsid w:val="00226CCE"/>
    <w:rsid w:val="0023046E"/>
    <w:rsid w:val="00232B77"/>
    <w:rsid w:val="00232BCF"/>
    <w:rsid w:val="002417BB"/>
    <w:rsid w:val="002428CA"/>
    <w:rsid w:val="00242C40"/>
    <w:rsid w:val="00246ED9"/>
    <w:rsid w:val="0024719C"/>
    <w:rsid w:val="00251CAF"/>
    <w:rsid w:val="002538AE"/>
    <w:rsid w:val="00253A73"/>
    <w:rsid w:val="002549A3"/>
    <w:rsid w:val="002555E6"/>
    <w:rsid w:val="0025781D"/>
    <w:rsid w:val="00257AE3"/>
    <w:rsid w:val="0026041D"/>
    <w:rsid w:val="002713C2"/>
    <w:rsid w:val="0027144A"/>
    <w:rsid w:val="00271617"/>
    <w:rsid w:val="002717B3"/>
    <w:rsid w:val="00274923"/>
    <w:rsid w:val="0028321D"/>
    <w:rsid w:val="00283E00"/>
    <w:rsid w:val="00287656"/>
    <w:rsid w:val="00292165"/>
    <w:rsid w:val="002924FC"/>
    <w:rsid w:val="00293E24"/>
    <w:rsid w:val="0029656B"/>
    <w:rsid w:val="002A05FE"/>
    <w:rsid w:val="002A1552"/>
    <w:rsid w:val="002A1F03"/>
    <w:rsid w:val="002A3A5F"/>
    <w:rsid w:val="002A3BC0"/>
    <w:rsid w:val="002A48F7"/>
    <w:rsid w:val="002B032C"/>
    <w:rsid w:val="002B5BD8"/>
    <w:rsid w:val="002B7CBE"/>
    <w:rsid w:val="002C038F"/>
    <w:rsid w:val="002C0BF9"/>
    <w:rsid w:val="002C0C2A"/>
    <w:rsid w:val="002C25B9"/>
    <w:rsid w:val="002C423C"/>
    <w:rsid w:val="002C6587"/>
    <w:rsid w:val="002D0CAF"/>
    <w:rsid w:val="002D25D6"/>
    <w:rsid w:val="002D28DA"/>
    <w:rsid w:val="002D2A8E"/>
    <w:rsid w:val="002D5C4B"/>
    <w:rsid w:val="002D5E74"/>
    <w:rsid w:val="002D7121"/>
    <w:rsid w:val="002E0295"/>
    <w:rsid w:val="002E0C4D"/>
    <w:rsid w:val="002E1CE0"/>
    <w:rsid w:val="002E342A"/>
    <w:rsid w:val="002E5330"/>
    <w:rsid w:val="002E6829"/>
    <w:rsid w:val="002F2D27"/>
    <w:rsid w:val="002F39E9"/>
    <w:rsid w:val="002F4A5E"/>
    <w:rsid w:val="002F77A2"/>
    <w:rsid w:val="003013B6"/>
    <w:rsid w:val="00301550"/>
    <w:rsid w:val="0030211F"/>
    <w:rsid w:val="003072EB"/>
    <w:rsid w:val="00310147"/>
    <w:rsid w:val="0031016C"/>
    <w:rsid w:val="00314244"/>
    <w:rsid w:val="00314ADE"/>
    <w:rsid w:val="00316AE8"/>
    <w:rsid w:val="00316CF0"/>
    <w:rsid w:val="00317D2F"/>
    <w:rsid w:val="003204EA"/>
    <w:rsid w:val="003226E3"/>
    <w:rsid w:val="00322795"/>
    <w:rsid w:val="00322F25"/>
    <w:rsid w:val="00323470"/>
    <w:rsid w:val="00324A16"/>
    <w:rsid w:val="003264B3"/>
    <w:rsid w:val="00332CAE"/>
    <w:rsid w:val="00332DFA"/>
    <w:rsid w:val="00335151"/>
    <w:rsid w:val="003375D6"/>
    <w:rsid w:val="0034270D"/>
    <w:rsid w:val="00342B1F"/>
    <w:rsid w:val="00343F48"/>
    <w:rsid w:val="00347353"/>
    <w:rsid w:val="00347725"/>
    <w:rsid w:val="00353895"/>
    <w:rsid w:val="00355E45"/>
    <w:rsid w:val="00362934"/>
    <w:rsid w:val="003653D6"/>
    <w:rsid w:val="00366E92"/>
    <w:rsid w:val="0036725A"/>
    <w:rsid w:val="00376997"/>
    <w:rsid w:val="00376C88"/>
    <w:rsid w:val="00380B1F"/>
    <w:rsid w:val="00381056"/>
    <w:rsid w:val="0038245C"/>
    <w:rsid w:val="00383CB2"/>
    <w:rsid w:val="003860DC"/>
    <w:rsid w:val="0038692D"/>
    <w:rsid w:val="00390F68"/>
    <w:rsid w:val="003922C9"/>
    <w:rsid w:val="00393199"/>
    <w:rsid w:val="0039587D"/>
    <w:rsid w:val="00395BDD"/>
    <w:rsid w:val="00396A3B"/>
    <w:rsid w:val="00396E90"/>
    <w:rsid w:val="00397CD8"/>
    <w:rsid w:val="003A0CC1"/>
    <w:rsid w:val="003A2135"/>
    <w:rsid w:val="003A2A47"/>
    <w:rsid w:val="003A52AF"/>
    <w:rsid w:val="003B386B"/>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68EA"/>
    <w:rsid w:val="003E073A"/>
    <w:rsid w:val="003E167C"/>
    <w:rsid w:val="003E2A9D"/>
    <w:rsid w:val="003E41A7"/>
    <w:rsid w:val="003E4519"/>
    <w:rsid w:val="003E56B4"/>
    <w:rsid w:val="003E6C99"/>
    <w:rsid w:val="003F209E"/>
    <w:rsid w:val="003F2535"/>
    <w:rsid w:val="003F4601"/>
    <w:rsid w:val="003F4C07"/>
    <w:rsid w:val="003F53C7"/>
    <w:rsid w:val="00401A01"/>
    <w:rsid w:val="00402AC3"/>
    <w:rsid w:val="00404149"/>
    <w:rsid w:val="00406004"/>
    <w:rsid w:val="004068CD"/>
    <w:rsid w:val="004074DA"/>
    <w:rsid w:val="004077DB"/>
    <w:rsid w:val="00412E21"/>
    <w:rsid w:val="00413DD9"/>
    <w:rsid w:val="0041496C"/>
    <w:rsid w:val="00415035"/>
    <w:rsid w:val="00415ACB"/>
    <w:rsid w:val="00420F72"/>
    <w:rsid w:val="004210DE"/>
    <w:rsid w:val="004226BB"/>
    <w:rsid w:val="00433148"/>
    <w:rsid w:val="004331A8"/>
    <w:rsid w:val="00434785"/>
    <w:rsid w:val="00434ADC"/>
    <w:rsid w:val="00444976"/>
    <w:rsid w:val="004464EB"/>
    <w:rsid w:val="00447D14"/>
    <w:rsid w:val="00450508"/>
    <w:rsid w:val="00451B7A"/>
    <w:rsid w:val="004525FA"/>
    <w:rsid w:val="00462621"/>
    <w:rsid w:val="00464D9E"/>
    <w:rsid w:val="004727AE"/>
    <w:rsid w:val="00474A28"/>
    <w:rsid w:val="00474F0A"/>
    <w:rsid w:val="00476B4E"/>
    <w:rsid w:val="0048072A"/>
    <w:rsid w:val="00486664"/>
    <w:rsid w:val="004908E0"/>
    <w:rsid w:val="00490F86"/>
    <w:rsid w:val="004913B0"/>
    <w:rsid w:val="00493978"/>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530"/>
    <w:rsid w:val="004D1363"/>
    <w:rsid w:val="004D150E"/>
    <w:rsid w:val="004D32C1"/>
    <w:rsid w:val="004D50B8"/>
    <w:rsid w:val="004D5711"/>
    <w:rsid w:val="004D639C"/>
    <w:rsid w:val="004D68E2"/>
    <w:rsid w:val="004D7C1D"/>
    <w:rsid w:val="004E1617"/>
    <w:rsid w:val="004E31E2"/>
    <w:rsid w:val="004E579E"/>
    <w:rsid w:val="004F0306"/>
    <w:rsid w:val="004F0519"/>
    <w:rsid w:val="004F06C4"/>
    <w:rsid w:val="004F0F3D"/>
    <w:rsid w:val="004F4FBD"/>
    <w:rsid w:val="0050122E"/>
    <w:rsid w:val="0050150B"/>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6FEA"/>
    <w:rsid w:val="00560BC8"/>
    <w:rsid w:val="00563A33"/>
    <w:rsid w:val="00563E5F"/>
    <w:rsid w:val="00564040"/>
    <w:rsid w:val="0056417E"/>
    <w:rsid w:val="0056672C"/>
    <w:rsid w:val="00576234"/>
    <w:rsid w:val="0058235F"/>
    <w:rsid w:val="00585E27"/>
    <w:rsid w:val="00586699"/>
    <w:rsid w:val="00586CDF"/>
    <w:rsid w:val="00587881"/>
    <w:rsid w:val="005907BC"/>
    <w:rsid w:val="00591F13"/>
    <w:rsid w:val="00593122"/>
    <w:rsid w:val="0059529D"/>
    <w:rsid w:val="00595F40"/>
    <w:rsid w:val="005964EB"/>
    <w:rsid w:val="00596ABC"/>
    <w:rsid w:val="005979CA"/>
    <w:rsid w:val="005A06F7"/>
    <w:rsid w:val="005A1235"/>
    <w:rsid w:val="005A3776"/>
    <w:rsid w:val="005A5250"/>
    <w:rsid w:val="005A704E"/>
    <w:rsid w:val="005B0096"/>
    <w:rsid w:val="005B22EF"/>
    <w:rsid w:val="005B7FE3"/>
    <w:rsid w:val="005C0143"/>
    <w:rsid w:val="005C28D8"/>
    <w:rsid w:val="005C71CC"/>
    <w:rsid w:val="005D0D15"/>
    <w:rsid w:val="005D0E77"/>
    <w:rsid w:val="005D1DD9"/>
    <w:rsid w:val="005D3779"/>
    <w:rsid w:val="005D4023"/>
    <w:rsid w:val="005D4BBD"/>
    <w:rsid w:val="005D51BE"/>
    <w:rsid w:val="005D5FE7"/>
    <w:rsid w:val="005D6E58"/>
    <w:rsid w:val="005D75BC"/>
    <w:rsid w:val="005E3925"/>
    <w:rsid w:val="005E45C0"/>
    <w:rsid w:val="005E6FDE"/>
    <w:rsid w:val="005E7378"/>
    <w:rsid w:val="005F6C0A"/>
    <w:rsid w:val="006011A0"/>
    <w:rsid w:val="0060187D"/>
    <w:rsid w:val="00601DDB"/>
    <w:rsid w:val="00602D50"/>
    <w:rsid w:val="00603B39"/>
    <w:rsid w:val="00610D02"/>
    <w:rsid w:val="0061318A"/>
    <w:rsid w:val="00615699"/>
    <w:rsid w:val="006168C7"/>
    <w:rsid w:val="00621164"/>
    <w:rsid w:val="006225CC"/>
    <w:rsid w:val="0062326E"/>
    <w:rsid w:val="0063174E"/>
    <w:rsid w:val="00632836"/>
    <w:rsid w:val="00632994"/>
    <w:rsid w:val="00636A35"/>
    <w:rsid w:val="00636B93"/>
    <w:rsid w:val="006405E3"/>
    <w:rsid w:val="00641FCD"/>
    <w:rsid w:val="00642861"/>
    <w:rsid w:val="006428DC"/>
    <w:rsid w:val="006433F9"/>
    <w:rsid w:val="00644EBD"/>
    <w:rsid w:val="00645CF2"/>
    <w:rsid w:val="00656A76"/>
    <w:rsid w:val="00657543"/>
    <w:rsid w:val="006629AB"/>
    <w:rsid w:val="00662DDF"/>
    <w:rsid w:val="006675AC"/>
    <w:rsid w:val="00670108"/>
    <w:rsid w:val="006711B8"/>
    <w:rsid w:val="006714E4"/>
    <w:rsid w:val="00672BD7"/>
    <w:rsid w:val="00674DB8"/>
    <w:rsid w:val="00675C3A"/>
    <w:rsid w:val="00677AC8"/>
    <w:rsid w:val="006816CE"/>
    <w:rsid w:val="006820E4"/>
    <w:rsid w:val="00682107"/>
    <w:rsid w:val="00682ACA"/>
    <w:rsid w:val="00683D50"/>
    <w:rsid w:val="00684546"/>
    <w:rsid w:val="00690249"/>
    <w:rsid w:val="00690B7C"/>
    <w:rsid w:val="006926B3"/>
    <w:rsid w:val="006935D2"/>
    <w:rsid w:val="00695079"/>
    <w:rsid w:val="0069509D"/>
    <w:rsid w:val="00697BC9"/>
    <w:rsid w:val="006A1D99"/>
    <w:rsid w:val="006A24E5"/>
    <w:rsid w:val="006A42F0"/>
    <w:rsid w:val="006A494F"/>
    <w:rsid w:val="006B0911"/>
    <w:rsid w:val="006B0E78"/>
    <w:rsid w:val="006B1C08"/>
    <w:rsid w:val="006C0224"/>
    <w:rsid w:val="006C2013"/>
    <w:rsid w:val="006C307F"/>
    <w:rsid w:val="006C6D76"/>
    <w:rsid w:val="006C6E21"/>
    <w:rsid w:val="006D059A"/>
    <w:rsid w:val="006D4FA6"/>
    <w:rsid w:val="006D7D2D"/>
    <w:rsid w:val="006E2476"/>
    <w:rsid w:val="006E2E3A"/>
    <w:rsid w:val="006F2E46"/>
    <w:rsid w:val="006F301F"/>
    <w:rsid w:val="006F39C8"/>
    <w:rsid w:val="0070168B"/>
    <w:rsid w:val="00701855"/>
    <w:rsid w:val="007050DC"/>
    <w:rsid w:val="00706D76"/>
    <w:rsid w:val="00707B88"/>
    <w:rsid w:val="00707FBD"/>
    <w:rsid w:val="00710ECA"/>
    <w:rsid w:val="00720478"/>
    <w:rsid w:val="0072061E"/>
    <w:rsid w:val="00722721"/>
    <w:rsid w:val="00723B11"/>
    <w:rsid w:val="00724ECA"/>
    <w:rsid w:val="00726C20"/>
    <w:rsid w:val="00730B27"/>
    <w:rsid w:val="00731B6F"/>
    <w:rsid w:val="00732E52"/>
    <w:rsid w:val="00733227"/>
    <w:rsid w:val="0073423C"/>
    <w:rsid w:val="00735041"/>
    <w:rsid w:val="00736BD1"/>
    <w:rsid w:val="0073725D"/>
    <w:rsid w:val="00737663"/>
    <w:rsid w:val="00737950"/>
    <w:rsid w:val="00743C37"/>
    <w:rsid w:val="00744CCC"/>
    <w:rsid w:val="00751A34"/>
    <w:rsid w:val="00751C56"/>
    <w:rsid w:val="00761DD2"/>
    <w:rsid w:val="00762EBF"/>
    <w:rsid w:val="00763F8A"/>
    <w:rsid w:val="00764A43"/>
    <w:rsid w:val="00766A5A"/>
    <w:rsid w:val="00770333"/>
    <w:rsid w:val="00770A3A"/>
    <w:rsid w:val="00771E0A"/>
    <w:rsid w:val="00772298"/>
    <w:rsid w:val="007727DA"/>
    <w:rsid w:val="00772AA5"/>
    <w:rsid w:val="00774FE4"/>
    <w:rsid w:val="0077588B"/>
    <w:rsid w:val="007765DC"/>
    <w:rsid w:val="007778A8"/>
    <w:rsid w:val="00781618"/>
    <w:rsid w:val="0078247C"/>
    <w:rsid w:val="007853C7"/>
    <w:rsid w:val="00787986"/>
    <w:rsid w:val="00790316"/>
    <w:rsid w:val="007927E6"/>
    <w:rsid w:val="00793F76"/>
    <w:rsid w:val="007947CB"/>
    <w:rsid w:val="007951AB"/>
    <w:rsid w:val="00795410"/>
    <w:rsid w:val="007961D3"/>
    <w:rsid w:val="00796F35"/>
    <w:rsid w:val="00797B3B"/>
    <w:rsid w:val="007A0115"/>
    <w:rsid w:val="007A07FA"/>
    <w:rsid w:val="007A38B6"/>
    <w:rsid w:val="007A48CC"/>
    <w:rsid w:val="007A599C"/>
    <w:rsid w:val="007B191A"/>
    <w:rsid w:val="007B1C23"/>
    <w:rsid w:val="007B304A"/>
    <w:rsid w:val="007B312D"/>
    <w:rsid w:val="007B3964"/>
    <w:rsid w:val="007B39C5"/>
    <w:rsid w:val="007B6B7E"/>
    <w:rsid w:val="007C29E9"/>
    <w:rsid w:val="007C3457"/>
    <w:rsid w:val="007C3E40"/>
    <w:rsid w:val="007C6E02"/>
    <w:rsid w:val="007D5397"/>
    <w:rsid w:val="007E15D9"/>
    <w:rsid w:val="007E53B4"/>
    <w:rsid w:val="007E7B71"/>
    <w:rsid w:val="007F1B94"/>
    <w:rsid w:val="007F20D7"/>
    <w:rsid w:val="007F37ED"/>
    <w:rsid w:val="007F4CF2"/>
    <w:rsid w:val="007F6EDA"/>
    <w:rsid w:val="0080342A"/>
    <w:rsid w:val="008046DE"/>
    <w:rsid w:val="00806831"/>
    <w:rsid w:val="008173A7"/>
    <w:rsid w:val="008214A8"/>
    <w:rsid w:val="00825980"/>
    <w:rsid w:val="008266E6"/>
    <w:rsid w:val="00830DB6"/>
    <w:rsid w:val="008348D3"/>
    <w:rsid w:val="008350D0"/>
    <w:rsid w:val="0083672F"/>
    <w:rsid w:val="0083684E"/>
    <w:rsid w:val="00847849"/>
    <w:rsid w:val="0085126C"/>
    <w:rsid w:val="00852B3F"/>
    <w:rsid w:val="008546CA"/>
    <w:rsid w:val="008568F6"/>
    <w:rsid w:val="00856B40"/>
    <w:rsid w:val="0085716B"/>
    <w:rsid w:val="00861264"/>
    <w:rsid w:val="00863D80"/>
    <w:rsid w:val="0086741E"/>
    <w:rsid w:val="00872D9F"/>
    <w:rsid w:val="0087412A"/>
    <w:rsid w:val="00875E25"/>
    <w:rsid w:val="00876457"/>
    <w:rsid w:val="0088039B"/>
    <w:rsid w:val="00885912"/>
    <w:rsid w:val="00886EB0"/>
    <w:rsid w:val="008870E1"/>
    <w:rsid w:val="00887E34"/>
    <w:rsid w:val="008913ED"/>
    <w:rsid w:val="00891C1C"/>
    <w:rsid w:val="00893054"/>
    <w:rsid w:val="00893B8E"/>
    <w:rsid w:val="00896424"/>
    <w:rsid w:val="00896648"/>
    <w:rsid w:val="00896A52"/>
    <w:rsid w:val="008A105D"/>
    <w:rsid w:val="008B0156"/>
    <w:rsid w:val="008B08DA"/>
    <w:rsid w:val="008B1962"/>
    <w:rsid w:val="008B34B8"/>
    <w:rsid w:val="008B55D4"/>
    <w:rsid w:val="008B6436"/>
    <w:rsid w:val="008B6CDE"/>
    <w:rsid w:val="008B735E"/>
    <w:rsid w:val="008C05D0"/>
    <w:rsid w:val="008C1B51"/>
    <w:rsid w:val="008C6DC1"/>
    <w:rsid w:val="008D441A"/>
    <w:rsid w:val="008D6DD7"/>
    <w:rsid w:val="008E0121"/>
    <w:rsid w:val="008E0FC6"/>
    <w:rsid w:val="008E4490"/>
    <w:rsid w:val="008E489E"/>
    <w:rsid w:val="008F0533"/>
    <w:rsid w:val="008F19BE"/>
    <w:rsid w:val="008F2AC5"/>
    <w:rsid w:val="008F3831"/>
    <w:rsid w:val="008F7409"/>
    <w:rsid w:val="008F7F2D"/>
    <w:rsid w:val="00900A17"/>
    <w:rsid w:val="00901BCF"/>
    <w:rsid w:val="009022FC"/>
    <w:rsid w:val="00905030"/>
    <w:rsid w:val="009059DD"/>
    <w:rsid w:val="00905D81"/>
    <w:rsid w:val="00907570"/>
    <w:rsid w:val="00913DD1"/>
    <w:rsid w:val="0092005E"/>
    <w:rsid w:val="00921F6E"/>
    <w:rsid w:val="009247F2"/>
    <w:rsid w:val="00932A45"/>
    <w:rsid w:val="00933553"/>
    <w:rsid w:val="00937C25"/>
    <w:rsid w:val="00937DC5"/>
    <w:rsid w:val="00941459"/>
    <w:rsid w:val="00941D35"/>
    <w:rsid w:val="009426D4"/>
    <w:rsid w:val="00942EF0"/>
    <w:rsid w:val="00943121"/>
    <w:rsid w:val="009473E1"/>
    <w:rsid w:val="00950A04"/>
    <w:rsid w:val="0095387A"/>
    <w:rsid w:val="00953DFA"/>
    <w:rsid w:val="00954B30"/>
    <w:rsid w:val="009552B5"/>
    <w:rsid w:val="0095761F"/>
    <w:rsid w:val="00957C2E"/>
    <w:rsid w:val="00960428"/>
    <w:rsid w:val="00962B49"/>
    <w:rsid w:val="009649DB"/>
    <w:rsid w:val="00967D4D"/>
    <w:rsid w:val="009726BD"/>
    <w:rsid w:val="00976B5F"/>
    <w:rsid w:val="00984A17"/>
    <w:rsid w:val="00987752"/>
    <w:rsid w:val="00990010"/>
    <w:rsid w:val="00990957"/>
    <w:rsid w:val="00992F1E"/>
    <w:rsid w:val="009937C0"/>
    <w:rsid w:val="009967C8"/>
    <w:rsid w:val="009970E5"/>
    <w:rsid w:val="0099764A"/>
    <w:rsid w:val="009A108C"/>
    <w:rsid w:val="009A1601"/>
    <w:rsid w:val="009A424F"/>
    <w:rsid w:val="009A68DC"/>
    <w:rsid w:val="009A7460"/>
    <w:rsid w:val="009B2553"/>
    <w:rsid w:val="009B5A4D"/>
    <w:rsid w:val="009C1A14"/>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500B"/>
    <w:rsid w:val="009E64A6"/>
    <w:rsid w:val="009F0528"/>
    <w:rsid w:val="009F1149"/>
    <w:rsid w:val="009F2475"/>
    <w:rsid w:val="009F709F"/>
    <w:rsid w:val="00A03392"/>
    <w:rsid w:val="00A035C0"/>
    <w:rsid w:val="00A062D3"/>
    <w:rsid w:val="00A10EFE"/>
    <w:rsid w:val="00A126D3"/>
    <w:rsid w:val="00A1627B"/>
    <w:rsid w:val="00A26633"/>
    <w:rsid w:val="00A27361"/>
    <w:rsid w:val="00A32723"/>
    <w:rsid w:val="00A3631D"/>
    <w:rsid w:val="00A40FB9"/>
    <w:rsid w:val="00A412AA"/>
    <w:rsid w:val="00A42D2E"/>
    <w:rsid w:val="00A43A14"/>
    <w:rsid w:val="00A45B8D"/>
    <w:rsid w:val="00A4663A"/>
    <w:rsid w:val="00A50531"/>
    <w:rsid w:val="00A5152A"/>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F71"/>
    <w:rsid w:val="00A9400F"/>
    <w:rsid w:val="00A95942"/>
    <w:rsid w:val="00AA34D1"/>
    <w:rsid w:val="00AA4D64"/>
    <w:rsid w:val="00AB1687"/>
    <w:rsid w:val="00AB1BF2"/>
    <w:rsid w:val="00AB31FD"/>
    <w:rsid w:val="00AB34AC"/>
    <w:rsid w:val="00AB6400"/>
    <w:rsid w:val="00AB799A"/>
    <w:rsid w:val="00AC036A"/>
    <w:rsid w:val="00AC0E5A"/>
    <w:rsid w:val="00AC18B8"/>
    <w:rsid w:val="00AC1F9E"/>
    <w:rsid w:val="00AC3A62"/>
    <w:rsid w:val="00AC40CC"/>
    <w:rsid w:val="00AC487F"/>
    <w:rsid w:val="00AC4892"/>
    <w:rsid w:val="00AC772C"/>
    <w:rsid w:val="00AD121E"/>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3530"/>
    <w:rsid w:val="00B15568"/>
    <w:rsid w:val="00B15EAF"/>
    <w:rsid w:val="00B167CB"/>
    <w:rsid w:val="00B200ED"/>
    <w:rsid w:val="00B2139A"/>
    <w:rsid w:val="00B21687"/>
    <w:rsid w:val="00B23BEF"/>
    <w:rsid w:val="00B2437B"/>
    <w:rsid w:val="00B25879"/>
    <w:rsid w:val="00B27011"/>
    <w:rsid w:val="00B3127B"/>
    <w:rsid w:val="00B31DAC"/>
    <w:rsid w:val="00B32B17"/>
    <w:rsid w:val="00B33360"/>
    <w:rsid w:val="00B34EDB"/>
    <w:rsid w:val="00B40D8D"/>
    <w:rsid w:val="00B40F96"/>
    <w:rsid w:val="00B41C97"/>
    <w:rsid w:val="00B42F2B"/>
    <w:rsid w:val="00B430A5"/>
    <w:rsid w:val="00B46C93"/>
    <w:rsid w:val="00B50DC6"/>
    <w:rsid w:val="00B55318"/>
    <w:rsid w:val="00B57FD1"/>
    <w:rsid w:val="00B60A6D"/>
    <w:rsid w:val="00B60CC8"/>
    <w:rsid w:val="00B62CE1"/>
    <w:rsid w:val="00B633EC"/>
    <w:rsid w:val="00B6566D"/>
    <w:rsid w:val="00B657F9"/>
    <w:rsid w:val="00B66662"/>
    <w:rsid w:val="00B67732"/>
    <w:rsid w:val="00B7162B"/>
    <w:rsid w:val="00B734D6"/>
    <w:rsid w:val="00B748FF"/>
    <w:rsid w:val="00B74A81"/>
    <w:rsid w:val="00B75C2D"/>
    <w:rsid w:val="00B816AF"/>
    <w:rsid w:val="00B818FA"/>
    <w:rsid w:val="00B8326D"/>
    <w:rsid w:val="00B87605"/>
    <w:rsid w:val="00B922B7"/>
    <w:rsid w:val="00B97FAC"/>
    <w:rsid w:val="00BA5B4E"/>
    <w:rsid w:val="00BA799C"/>
    <w:rsid w:val="00BA7ABF"/>
    <w:rsid w:val="00BA7DE0"/>
    <w:rsid w:val="00BC2906"/>
    <w:rsid w:val="00BC3CC9"/>
    <w:rsid w:val="00BC46D9"/>
    <w:rsid w:val="00BC5DF5"/>
    <w:rsid w:val="00BC7758"/>
    <w:rsid w:val="00BD2803"/>
    <w:rsid w:val="00BD2E57"/>
    <w:rsid w:val="00BD3D14"/>
    <w:rsid w:val="00BD44E6"/>
    <w:rsid w:val="00BD5246"/>
    <w:rsid w:val="00BD7C0A"/>
    <w:rsid w:val="00BE2A02"/>
    <w:rsid w:val="00BE2EF7"/>
    <w:rsid w:val="00BF3A2E"/>
    <w:rsid w:val="00BF48B6"/>
    <w:rsid w:val="00BF4D8B"/>
    <w:rsid w:val="00BF695B"/>
    <w:rsid w:val="00C00265"/>
    <w:rsid w:val="00C01B29"/>
    <w:rsid w:val="00C0514B"/>
    <w:rsid w:val="00C1300E"/>
    <w:rsid w:val="00C17713"/>
    <w:rsid w:val="00C21F39"/>
    <w:rsid w:val="00C24386"/>
    <w:rsid w:val="00C24E8A"/>
    <w:rsid w:val="00C26379"/>
    <w:rsid w:val="00C2727F"/>
    <w:rsid w:val="00C30907"/>
    <w:rsid w:val="00C31081"/>
    <w:rsid w:val="00C327FE"/>
    <w:rsid w:val="00C338F3"/>
    <w:rsid w:val="00C35E83"/>
    <w:rsid w:val="00C37BD4"/>
    <w:rsid w:val="00C413AF"/>
    <w:rsid w:val="00C430C9"/>
    <w:rsid w:val="00C43717"/>
    <w:rsid w:val="00C4502C"/>
    <w:rsid w:val="00C46DC0"/>
    <w:rsid w:val="00C50539"/>
    <w:rsid w:val="00C51790"/>
    <w:rsid w:val="00C5256E"/>
    <w:rsid w:val="00C567EA"/>
    <w:rsid w:val="00C60C5D"/>
    <w:rsid w:val="00C6263E"/>
    <w:rsid w:val="00C75D35"/>
    <w:rsid w:val="00C7655E"/>
    <w:rsid w:val="00C76AF7"/>
    <w:rsid w:val="00C83229"/>
    <w:rsid w:val="00C8479A"/>
    <w:rsid w:val="00C85C31"/>
    <w:rsid w:val="00C866A8"/>
    <w:rsid w:val="00C87046"/>
    <w:rsid w:val="00C8750B"/>
    <w:rsid w:val="00C87991"/>
    <w:rsid w:val="00C91336"/>
    <w:rsid w:val="00C91C97"/>
    <w:rsid w:val="00C944D5"/>
    <w:rsid w:val="00C94865"/>
    <w:rsid w:val="00C977FD"/>
    <w:rsid w:val="00CA11AC"/>
    <w:rsid w:val="00CA1A81"/>
    <w:rsid w:val="00CA29FB"/>
    <w:rsid w:val="00CA458F"/>
    <w:rsid w:val="00CA6C11"/>
    <w:rsid w:val="00CA770C"/>
    <w:rsid w:val="00CA7C60"/>
    <w:rsid w:val="00CB0287"/>
    <w:rsid w:val="00CB0D8D"/>
    <w:rsid w:val="00CB74D6"/>
    <w:rsid w:val="00CC112D"/>
    <w:rsid w:val="00CC2F3D"/>
    <w:rsid w:val="00CC5E6A"/>
    <w:rsid w:val="00CC6B62"/>
    <w:rsid w:val="00CC7614"/>
    <w:rsid w:val="00CD2C1C"/>
    <w:rsid w:val="00CD4A31"/>
    <w:rsid w:val="00CE35EB"/>
    <w:rsid w:val="00CE5F64"/>
    <w:rsid w:val="00CE70EA"/>
    <w:rsid w:val="00CF4303"/>
    <w:rsid w:val="00CF6CBA"/>
    <w:rsid w:val="00D01F46"/>
    <w:rsid w:val="00D04502"/>
    <w:rsid w:val="00D048E6"/>
    <w:rsid w:val="00D0674D"/>
    <w:rsid w:val="00D06DA8"/>
    <w:rsid w:val="00D06F9C"/>
    <w:rsid w:val="00D104B9"/>
    <w:rsid w:val="00D11CF8"/>
    <w:rsid w:val="00D15633"/>
    <w:rsid w:val="00D1613D"/>
    <w:rsid w:val="00D1736E"/>
    <w:rsid w:val="00D17506"/>
    <w:rsid w:val="00D3264B"/>
    <w:rsid w:val="00D33D78"/>
    <w:rsid w:val="00D33F02"/>
    <w:rsid w:val="00D410F7"/>
    <w:rsid w:val="00D422D0"/>
    <w:rsid w:val="00D432E4"/>
    <w:rsid w:val="00D51E26"/>
    <w:rsid w:val="00D545A4"/>
    <w:rsid w:val="00D55DED"/>
    <w:rsid w:val="00D56852"/>
    <w:rsid w:val="00D629D1"/>
    <w:rsid w:val="00D63413"/>
    <w:rsid w:val="00D6368C"/>
    <w:rsid w:val="00D6518A"/>
    <w:rsid w:val="00D7291E"/>
    <w:rsid w:val="00D7451C"/>
    <w:rsid w:val="00D75CAD"/>
    <w:rsid w:val="00D75D51"/>
    <w:rsid w:val="00D76623"/>
    <w:rsid w:val="00D76D95"/>
    <w:rsid w:val="00D80C37"/>
    <w:rsid w:val="00D8153B"/>
    <w:rsid w:val="00D82F0C"/>
    <w:rsid w:val="00D84157"/>
    <w:rsid w:val="00D85159"/>
    <w:rsid w:val="00D860B1"/>
    <w:rsid w:val="00D8615E"/>
    <w:rsid w:val="00D90AC8"/>
    <w:rsid w:val="00D93249"/>
    <w:rsid w:val="00DA28EF"/>
    <w:rsid w:val="00DA3394"/>
    <w:rsid w:val="00DA5A3D"/>
    <w:rsid w:val="00DA6430"/>
    <w:rsid w:val="00DA6DF6"/>
    <w:rsid w:val="00DA756B"/>
    <w:rsid w:val="00DB0F5E"/>
    <w:rsid w:val="00DB507D"/>
    <w:rsid w:val="00DB61CD"/>
    <w:rsid w:val="00DC0FD6"/>
    <w:rsid w:val="00DC2528"/>
    <w:rsid w:val="00DC70B1"/>
    <w:rsid w:val="00DD0A65"/>
    <w:rsid w:val="00DD464E"/>
    <w:rsid w:val="00DD6624"/>
    <w:rsid w:val="00DD783B"/>
    <w:rsid w:val="00DE11CD"/>
    <w:rsid w:val="00DE1220"/>
    <w:rsid w:val="00DE24C9"/>
    <w:rsid w:val="00DE363F"/>
    <w:rsid w:val="00DE5EBC"/>
    <w:rsid w:val="00DE693B"/>
    <w:rsid w:val="00DE7917"/>
    <w:rsid w:val="00DF072D"/>
    <w:rsid w:val="00DF450E"/>
    <w:rsid w:val="00DF5D1B"/>
    <w:rsid w:val="00E00CAB"/>
    <w:rsid w:val="00E01D0D"/>
    <w:rsid w:val="00E033B1"/>
    <w:rsid w:val="00E04EE3"/>
    <w:rsid w:val="00E108D0"/>
    <w:rsid w:val="00E1178E"/>
    <w:rsid w:val="00E14A5B"/>
    <w:rsid w:val="00E14C89"/>
    <w:rsid w:val="00E1758C"/>
    <w:rsid w:val="00E212A3"/>
    <w:rsid w:val="00E233AC"/>
    <w:rsid w:val="00E27E74"/>
    <w:rsid w:val="00E27F2F"/>
    <w:rsid w:val="00E32B9B"/>
    <w:rsid w:val="00E32F32"/>
    <w:rsid w:val="00E36999"/>
    <w:rsid w:val="00E3722E"/>
    <w:rsid w:val="00E37C7D"/>
    <w:rsid w:val="00E41BBA"/>
    <w:rsid w:val="00E43828"/>
    <w:rsid w:val="00E46A61"/>
    <w:rsid w:val="00E47A99"/>
    <w:rsid w:val="00E47FC5"/>
    <w:rsid w:val="00E509DA"/>
    <w:rsid w:val="00E5193D"/>
    <w:rsid w:val="00E5382E"/>
    <w:rsid w:val="00E54D02"/>
    <w:rsid w:val="00E579BF"/>
    <w:rsid w:val="00E57AA9"/>
    <w:rsid w:val="00E625E1"/>
    <w:rsid w:val="00E62FF1"/>
    <w:rsid w:val="00E650C7"/>
    <w:rsid w:val="00E717FF"/>
    <w:rsid w:val="00E72A10"/>
    <w:rsid w:val="00E74C70"/>
    <w:rsid w:val="00E7723B"/>
    <w:rsid w:val="00E832F3"/>
    <w:rsid w:val="00E840D4"/>
    <w:rsid w:val="00E92E8F"/>
    <w:rsid w:val="00E95260"/>
    <w:rsid w:val="00E96CF7"/>
    <w:rsid w:val="00E9799D"/>
    <w:rsid w:val="00EA4865"/>
    <w:rsid w:val="00EA6C82"/>
    <w:rsid w:val="00EA789A"/>
    <w:rsid w:val="00EA78E8"/>
    <w:rsid w:val="00EB09FB"/>
    <w:rsid w:val="00EB2469"/>
    <w:rsid w:val="00EB298C"/>
    <w:rsid w:val="00EB3735"/>
    <w:rsid w:val="00EB39D5"/>
    <w:rsid w:val="00EB5864"/>
    <w:rsid w:val="00EB69E9"/>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42BB"/>
    <w:rsid w:val="00F06BE7"/>
    <w:rsid w:val="00F06EF0"/>
    <w:rsid w:val="00F10AF1"/>
    <w:rsid w:val="00F10CA5"/>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6778"/>
    <w:rsid w:val="00F4211B"/>
    <w:rsid w:val="00F43390"/>
    <w:rsid w:val="00F445AF"/>
    <w:rsid w:val="00F46BFB"/>
    <w:rsid w:val="00F5061F"/>
    <w:rsid w:val="00F50A56"/>
    <w:rsid w:val="00F53FD7"/>
    <w:rsid w:val="00F545C6"/>
    <w:rsid w:val="00F555F7"/>
    <w:rsid w:val="00F567D3"/>
    <w:rsid w:val="00F57952"/>
    <w:rsid w:val="00F60251"/>
    <w:rsid w:val="00F611C5"/>
    <w:rsid w:val="00F61AD1"/>
    <w:rsid w:val="00F62FC2"/>
    <w:rsid w:val="00F631DB"/>
    <w:rsid w:val="00F672B8"/>
    <w:rsid w:val="00F73755"/>
    <w:rsid w:val="00F76C62"/>
    <w:rsid w:val="00F770F3"/>
    <w:rsid w:val="00F81994"/>
    <w:rsid w:val="00F82FA5"/>
    <w:rsid w:val="00F8627D"/>
    <w:rsid w:val="00F86761"/>
    <w:rsid w:val="00F93814"/>
    <w:rsid w:val="00F94295"/>
    <w:rsid w:val="00FA1DCA"/>
    <w:rsid w:val="00FA3903"/>
    <w:rsid w:val="00FA3A0C"/>
    <w:rsid w:val="00FA5128"/>
    <w:rsid w:val="00FA7E46"/>
    <w:rsid w:val="00FB5A52"/>
    <w:rsid w:val="00FB6009"/>
    <w:rsid w:val="00FB6620"/>
    <w:rsid w:val="00FC6AE4"/>
    <w:rsid w:val="00FC6B17"/>
    <w:rsid w:val="00FC7AD0"/>
    <w:rsid w:val="00FD40CF"/>
    <w:rsid w:val="00FD6697"/>
    <w:rsid w:val="00FD74D3"/>
    <w:rsid w:val="00FE10A8"/>
    <w:rsid w:val="00FE1452"/>
    <w:rsid w:val="00FE224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r@quantumbiopharm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Zsaeed@quantumbiopharma.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c.gov" TargetMode="External"/><Relationship Id="rId5" Type="http://schemas.openxmlformats.org/officeDocument/2006/relationships/settings" Target="settings.xml"/><Relationship Id="rId15" Type="http://schemas.openxmlformats.org/officeDocument/2006/relationships/hyperlink" Target="http://www.quantumbiopharma.com" TargetMode="External"/><Relationship Id="rId10" Type="http://schemas.openxmlformats.org/officeDocument/2006/relationships/hyperlink" Target="http://www.sedarplus.c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3.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2024-09-06T17:34:00Z</dcterms:created>
  <dcterms:modified xsi:type="dcterms:W3CDTF">2024-09-06T17:34:00Z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