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BDF22" w14:textId="0EDD57D2" w:rsidR="00672A0F" w:rsidRPr="00B21CD8" w:rsidRDefault="00672A0F" w:rsidP="00672A0F">
      <w:pPr>
        <w:pStyle w:val="BodyText"/>
        <w:jc w:val="center"/>
        <w:rPr>
          <w:rFonts w:asciiTheme="minorHAnsi" w:hAnsiTheme="minorHAnsi" w:cstheme="minorHAnsi"/>
          <w:sz w:val="22"/>
          <w:szCs w:val="22"/>
        </w:rPr>
      </w:pPr>
      <w:r w:rsidRPr="00B21CD8">
        <w:rPr>
          <w:rFonts w:asciiTheme="minorHAnsi" w:hAnsiTheme="minorHAnsi" w:cstheme="minorHAnsi"/>
          <w:b/>
          <w:sz w:val="22"/>
          <w:szCs w:val="22"/>
        </w:rPr>
        <w:t xml:space="preserve">XCYTE DIGITAL CORP. </w:t>
      </w:r>
      <w:r w:rsidR="00F06F9F">
        <w:rPr>
          <w:rFonts w:asciiTheme="minorHAnsi" w:hAnsiTheme="minorHAnsi" w:cstheme="minorHAnsi"/>
          <w:b/>
          <w:sz w:val="22"/>
          <w:szCs w:val="22"/>
        </w:rPr>
        <w:t xml:space="preserve">ANNOUNCES </w:t>
      </w:r>
      <w:r w:rsidR="00185F53">
        <w:rPr>
          <w:rFonts w:asciiTheme="minorHAnsi" w:hAnsiTheme="minorHAnsi" w:cstheme="minorHAnsi"/>
          <w:b/>
          <w:sz w:val="22"/>
          <w:szCs w:val="22"/>
        </w:rPr>
        <w:t>INTENT TO EXTEND YEAR END AND Q1 DEADLINE</w:t>
      </w:r>
    </w:p>
    <w:p w14:paraId="514E45B8" w14:textId="6F889756" w:rsidR="00484A72" w:rsidRDefault="00672A0F" w:rsidP="00484A72">
      <w:pPr>
        <w:pStyle w:val="BodyText"/>
        <w:rPr>
          <w:rFonts w:asciiTheme="minorHAnsi" w:hAnsiTheme="minorHAnsi" w:cstheme="minorHAnsi"/>
          <w:sz w:val="22"/>
          <w:szCs w:val="22"/>
        </w:rPr>
      </w:pPr>
      <w:r w:rsidRPr="00434694">
        <w:rPr>
          <w:rFonts w:asciiTheme="minorHAnsi" w:hAnsiTheme="minorHAnsi" w:cstheme="minorHAnsi"/>
          <w:b/>
          <w:bCs/>
          <w:sz w:val="22"/>
          <w:szCs w:val="22"/>
        </w:rPr>
        <w:t xml:space="preserve">POMPANO BEACH, FL / ACCESSWIRE / </w:t>
      </w:r>
      <w:r w:rsidR="00A875D4">
        <w:rPr>
          <w:rFonts w:asciiTheme="minorHAnsi" w:hAnsiTheme="minorHAnsi" w:cstheme="minorHAnsi"/>
          <w:b/>
          <w:bCs/>
          <w:sz w:val="22"/>
          <w:szCs w:val="22"/>
        </w:rPr>
        <w:t>Feb</w:t>
      </w:r>
      <w:r w:rsidR="0072118A">
        <w:rPr>
          <w:rFonts w:asciiTheme="minorHAnsi" w:hAnsiTheme="minorHAnsi" w:cstheme="minorHAnsi"/>
          <w:b/>
          <w:bCs/>
          <w:sz w:val="22"/>
          <w:szCs w:val="22"/>
        </w:rPr>
        <w:t>r</w:t>
      </w:r>
      <w:r w:rsidRPr="00434694">
        <w:rPr>
          <w:rFonts w:asciiTheme="minorHAnsi" w:hAnsiTheme="minorHAnsi" w:cstheme="minorHAnsi"/>
          <w:b/>
          <w:bCs/>
          <w:sz w:val="22"/>
          <w:szCs w:val="22"/>
        </w:rPr>
        <w:t xml:space="preserve">uary </w:t>
      </w:r>
      <w:r w:rsidR="00F170A3">
        <w:rPr>
          <w:rFonts w:asciiTheme="minorHAnsi" w:hAnsiTheme="minorHAnsi" w:cstheme="minorHAnsi"/>
          <w:b/>
          <w:bCs/>
          <w:sz w:val="22"/>
          <w:szCs w:val="22"/>
        </w:rPr>
        <w:t>1</w:t>
      </w:r>
      <w:r w:rsidR="00AD0CBE">
        <w:rPr>
          <w:rFonts w:asciiTheme="minorHAnsi" w:hAnsiTheme="minorHAnsi" w:cstheme="minorHAnsi"/>
          <w:b/>
          <w:bCs/>
          <w:sz w:val="22"/>
          <w:szCs w:val="22"/>
        </w:rPr>
        <w:t>9</w:t>
      </w:r>
      <w:r w:rsidR="00BF65FD">
        <w:rPr>
          <w:rFonts w:asciiTheme="minorHAnsi" w:hAnsiTheme="minorHAnsi" w:cstheme="minorHAnsi"/>
          <w:b/>
          <w:bCs/>
          <w:sz w:val="22"/>
          <w:szCs w:val="22"/>
        </w:rPr>
        <w:t>,</w:t>
      </w:r>
      <w:r w:rsidRPr="00434694">
        <w:rPr>
          <w:rFonts w:asciiTheme="minorHAnsi" w:hAnsiTheme="minorHAnsi" w:cstheme="minorHAnsi"/>
          <w:b/>
          <w:bCs/>
          <w:sz w:val="22"/>
          <w:szCs w:val="22"/>
        </w:rPr>
        <w:t xml:space="preserve"> 2025 – Xcyte Digital Corp.</w:t>
      </w:r>
      <w:r w:rsidRPr="00B21CD8">
        <w:rPr>
          <w:rFonts w:asciiTheme="minorHAnsi" w:hAnsiTheme="minorHAnsi" w:cstheme="minorHAnsi"/>
          <w:sz w:val="22"/>
          <w:szCs w:val="22"/>
        </w:rPr>
        <w:t xml:space="preserve"> </w:t>
      </w:r>
      <w:r w:rsidRPr="00434694">
        <w:rPr>
          <w:rFonts w:asciiTheme="minorHAnsi" w:hAnsiTheme="minorHAnsi" w:cstheme="minorHAnsi"/>
          <w:b/>
          <w:bCs/>
          <w:sz w:val="22"/>
          <w:szCs w:val="22"/>
        </w:rPr>
        <w:t>(TSXV: XCYT)</w:t>
      </w:r>
      <w:r w:rsidRPr="00B21CD8">
        <w:rPr>
          <w:rFonts w:asciiTheme="minorHAnsi" w:hAnsiTheme="minorHAnsi" w:cstheme="minorHAnsi"/>
          <w:sz w:val="22"/>
          <w:szCs w:val="22"/>
        </w:rPr>
        <w:t xml:space="preserve"> (</w:t>
      </w:r>
      <w:r>
        <w:rPr>
          <w:rFonts w:asciiTheme="minorHAnsi" w:hAnsiTheme="minorHAnsi" w:cstheme="minorHAnsi"/>
          <w:sz w:val="22"/>
          <w:szCs w:val="22"/>
        </w:rPr>
        <w:t>“</w:t>
      </w:r>
      <w:r w:rsidRPr="00B21CD8">
        <w:rPr>
          <w:rFonts w:asciiTheme="minorHAnsi" w:hAnsiTheme="minorHAnsi" w:cstheme="minorHAnsi"/>
          <w:b/>
          <w:bCs/>
          <w:sz w:val="22"/>
          <w:szCs w:val="22"/>
        </w:rPr>
        <w:t>Xcyte</w:t>
      </w:r>
      <w:r>
        <w:rPr>
          <w:rFonts w:asciiTheme="minorHAnsi" w:hAnsiTheme="minorHAnsi" w:cstheme="minorHAnsi"/>
          <w:sz w:val="22"/>
          <w:szCs w:val="22"/>
        </w:rPr>
        <w:t>”</w:t>
      </w:r>
      <w:r w:rsidRPr="00B21CD8">
        <w:rPr>
          <w:rFonts w:asciiTheme="minorHAnsi" w:hAnsiTheme="minorHAnsi" w:cstheme="minorHAnsi"/>
          <w:sz w:val="22"/>
          <w:szCs w:val="22"/>
        </w:rPr>
        <w:t xml:space="preserve"> or the </w:t>
      </w:r>
      <w:r>
        <w:rPr>
          <w:rFonts w:asciiTheme="minorHAnsi" w:hAnsiTheme="minorHAnsi" w:cstheme="minorHAnsi"/>
          <w:sz w:val="22"/>
          <w:szCs w:val="22"/>
        </w:rPr>
        <w:t>“</w:t>
      </w:r>
      <w:r w:rsidRPr="00B21CD8">
        <w:rPr>
          <w:rFonts w:asciiTheme="minorHAnsi" w:hAnsiTheme="minorHAnsi" w:cstheme="minorHAnsi"/>
          <w:b/>
          <w:bCs/>
          <w:sz w:val="22"/>
          <w:szCs w:val="22"/>
        </w:rPr>
        <w:t>Company</w:t>
      </w:r>
      <w:r>
        <w:rPr>
          <w:rFonts w:asciiTheme="minorHAnsi" w:hAnsiTheme="minorHAnsi" w:cstheme="minorHAnsi"/>
          <w:sz w:val="22"/>
          <w:szCs w:val="22"/>
        </w:rPr>
        <w:t>”</w:t>
      </w:r>
      <w:r w:rsidRPr="00B21CD8">
        <w:rPr>
          <w:rFonts w:asciiTheme="minorHAnsi" w:hAnsiTheme="minorHAnsi" w:cstheme="minorHAnsi"/>
          <w:sz w:val="22"/>
          <w:szCs w:val="22"/>
        </w:rPr>
        <w:t xml:space="preserve">) </w:t>
      </w:r>
      <w:r w:rsidR="00484A72">
        <w:rPr>
          <w:rFonts w:asciiTheme="minorHAnsi" w:hAnsiTheme="minorHAnsi" w:cstheme="minorHAnsi"/>
          <w:sz w:val="22"/>
          <w:szCs w:val="22"/>
        </w:rPr>
        <w:t>is</w:t>
      </w:r>
      <w:r w:rsidR="00484A72" w:rsidRPr="00484A72">
        <w:t xml:space="preserve"> </w:t>
      </w:r>
      <w:r w:rsidR="00484A72" w:rsidRPr="00484A72">
        <w:rPr>
          <w:rFonts w:asciiTheme="minorHAnsi" w:hAnsiTheme="minorHAnsi" w:cstheme="minorHAnsi"/>
          <w:sz w:val="22"/>
          <w:szCs w:val="22"/>
        </w:rPr>
        <w:t>announcing that further to its</w:t>
      </w:r>
      <w:r w:rsidR="00484A72">
        <w:rPr>
          <w:rFonts w:asciiTheme="minorHAnsi" w:hAnsiTheme="minorHAnsi" w:cstheme="minorHAnsi"/>
          <w:sz w:val="22"/>
          <w:szCs w:val="22"/>
        </w:rPr>
        <w:t xml:space="preserve"> </w:t>
      </w:r>
      <w:r w:rsidR="00185F53" w:rsidRPr="00F170A3">
        <w:rPr>
          <w:rFonts w:asciiTheme="minorHAnsi" w:hAnsiTheme="minorHAnsi" w:cstheme="minorHAnsi"/>
          <w:color w:val="333333"/>
          <w:sz w:val="22"/>
          <w:szCs w:val="22"/>
        </w:rPr>
        <w:t xml:space="preserve">February </w:t>
      </w:r>
      <w:r w:rsidR="00484A72">
        <w:rPr>
          <w:rFonts w:asciiTheme="minorHAnsi" w:hAnsiTheme="minorHAnsi" w:cstheme="minorHAnsi"/>
          <w:sz w:val="22"/>
          <w:szCs w:val="22"/>
        </w:rPr>
        <w:t>5,</w:t>
      </w:r>
      <w:r w:rsidR="00484A72" w:rsidRPr="00484A72">
        <w:rPr>
          <w:rFonts w:asciiTheme="minorHAnsi" w:hAnsiTheme="minorHAnsi" w:cstheme="minorHAnsi"/>
          <w:sz w:val="22"/>
          <w:szCs w:val="22"/>
        </w:rPr>
        <w:t xml:space="preserve"> 202</w:t>
      </w:r>
      <w:r w:rsidR="00484A72">
        <w:rPr>
          <w:rFonts w:asciiTheme="minorHAnsi" w:hAnsiTheme="minorHAnsi" w:cstheme="minorHAnsi"/>
          <w:sz w:val="22"/>
          <w:szCs w:val="22"/>
        </w:rPr>
        <w:t>5</w:t>
      </w:r>
      <w:r w:rsidR="00484A72" w:rsidRPr="00484A72">
        <w:rPr>
          <w:rFonts w:asciiTheme="minorHAnsi" w:hAnsiTheme="minorHAnsi" w:cstheme="minorHAnsi"/>
          <w:sz w:val="22"/>
          <w:szCs w:val="22"/>
        </w:rPr>
        <w:t>, news release (“</w:t>
      </w:r>
      <w:r w:rsidR="00484A72" w:rsidRPr="00C94279">
        <w:rPr>
          <w:rFonts w:asciiTheme="minorHAnsi" w:hAnsiTheme="minorHAnsi" w:cstheme="minorHAnsi"/>
          <w:b/>
          <w:bCs/>
          <w:sz w:val="22"/>
          <w:szCs w:val="22"/>
        </w:rPr>
        <w:t>Status Update</w:t>
      </w:r>
      <w:r w:rsidR="00484A72" w:rsidRPr="00484A72">
        <w:rPr>
          <w:rFonts w:asciiTheme="minorHAnsi" w:hAnsiTheme="minorHAnsi" w:cstheme="minorHAnsi"/>
          <w:sz w:val="22"/>
          <w:szCs w:val="22"/>
        </w:rPr>
        <w:t xml:space="preserve">”), it is requesting permission from the </w:t>
      </w:r>
      <w:r w:rsidR="00484A72">
        <w:rPr>
          <w:rFonts w:asciiTheme="minorHAnsi" w:hAnsiTheme="minorHAnsi" w:cstheme="minorHAnsi"/>
          <w:sz w:val="22"/>
          <w:szCs w:val="22"/>
        </w:rPr>
        <w:t xml:space="preserve">Ontario </w:t>
      </w:r>
      <w:r w:rsidR="00484A72" w:rsidRPr="00484A72">
        <w:rPr>
          <w:rFonts w:asciiTheme="minorHAnsi" w:hAnsiTheme="minorHAnsi" w:cstheme="minorHAnsi"/>
          <w:sz w:val="22"/>
          <w:szCs w:val="22"/>
        </w:rPr>
        <w:t>Securities</w:t>
      </w:r>
      <w:r w:rsidR="00484A72">
        <w:rPr>
          <w:rFonts w:asciiTheme="minorHAnsi" w:hAnsiTheme="minorHAnsi" w:cstheme="minorHAnsi"/>
          <w:sz w:val="22"/>
          <w:szCs w:val="22"/>
        </w:rPr>
        <w:t xml:space="preserve"> C</w:t>
      </w:r>
      <w:r w:rsidR="00484A72" w:rsidRPr="00484A72">
        <w:rPr>
          <w:rFonts w:asciiTheme="minorHAnsi" w:hAnsiTheme="minorHAnsi" w:cstheme="minorHAnsi"/>
          <w:sz w:val="22"/>
          <w:szCs w:val="22"/>
        </w:rPr>
        <w:t>ommission (“</w:t>
      </w:r>
      <w:r w:rsidR="00995177" w:rsidRPr="00C94279">
        <w:rPr>
          <w:rFonts w:asciiTheme="minorHAnsi" w:hAnsiTheme="minorHAnsi" w:cstheme="minorHAnsi"/>
          <w:b/>
          <w:bCs/>
          <w:sz w:val="22"/>
          <w:szCs w:val="22"/>
        </w:rPr>
        <w:t>OSC</w:t>
      </w:r>
      <w:r w:rsidR="00484A72" w:rsidRPr="00484A72">
        <w:rPr>
          <w:rFonts w:asciiTheme="minorHAnsi" w:hAnsiTheme="minorHAnsi" w:cstheme="minorHAnsi"/>
          <w:sz w:val="22"/>
          <w:szCs w:val="22"/>
        </w:rPr>
        <w:t>”) to extend its new deadline to file the Company’s Annual Filings (as defined herein)</w:t>
      </w:r>
      <w:r w:rsidR="00484A72">
        <w:rPr>
          <w:rFonts w:asciiTheme="minorHAnsi" w:hAnsiTheme="minorHAnsi" w:cstheme="minorHAnsi"/>
          <w:sz w:val="22"/>
          <w:szCs w:val="22"/>
        </w:rPr>
        <w:t xml:space="preserve"> </w:t>
      </w:r>
      <w:r w:rsidR="00484A72" w:rsidRPr="00484A72">
        <w:rPr>
          <w:rFonts w:asciiTheme="minorHAnsi" w:hAnsiTheme="minorHAnsi" w:cstheme="minorHAnsi"/>
          <w:sz w:val="22"/>
          <w:szCs w:val="22"/>
        </w:rPr>
        <w:t>for the year ended September 30, 202</w:t>
      </w:r>
      <w:r w:rsidR="00484A72">
        <w:rPr>
          <w:rFonts w:asciiTheme="minorHAnsi" w:hAnsiTheme="minorHAnsi" w:cstheme="minorHAnsi"/>
          <w:sz w:val="22"/>
          <w:szCs w:val="22"/>
        </w:rPr>
        <w:t>4</w:t>
      </w:r>
      <w:r w:rsidR="00484A72" w:rsidRPr="00484A72">
        <w:rPr>
          <w:rFonts w:asciiTheme="minorHAnsi" w:hAnsiTheme="minorHAnsi" w:cstheme="minorHAnsi"/>
          <w:sz w:val="22"/>
          <w:szCs w:val="22"/>
        </w:rPr>
        <w:t>, with the expectation that the auditor will have the Annual</w:t>
      </w:r>
      <w:r w:rsidR="00484A72">
        <w:rPr>
          <w:rFonts w:asciiTheme="minorHAnsi" w:hAnsiTheme="minorHAnsi" w:cstheme="minorHAnsi"/>
          <w:sz w:val="22"/>
          <w:szCs w:val="22"/>
        </w:rPr>
        <w:t xml:space="preserve"> </w:t>
      </w:r>
      <w:r w:rsidR="00484A72" w:rsidRPr="00484A72">
        <w:rPr>
          <w:rFonts w:asciiTheme="minorHAnsi" w:hAnsiTheme="minorHAnsi" w:cstheme="minorHAnsi"/>
          <w:sz w:val="22"/>
          <w:szCs w:val="22"/>
        </w:rPr>
        <w:t>Filings complete</w:t>
      </w:r>
      <w:r w:rsidR="00E470FE">
        <w:rPr>
          <w:rFonts w:asciiTheme="minorHAnsi" w:hAnsiTheme="minorHAnsi" w:cstheme="minorHAnsi"/>
          <w:sz w:val="22"/>
          <w:szCs w:val="22"/>
        </w:rPr>
        <w:t>d</w:t>
      </w:r>
      <w:r w:rsidR="00484A72" w:rsidRPr="00484A72">
        <w:rPr>
          <w:rFonts w:asciiTheme="minorHAnsi" w:hAnsiTheme="minorHAnsi" w:cstheme="minorHAnsi"/>
          <w:sz w:val="22"/>
          <w:szCs w:val="22"/>
        </w:rPr>
        <w:t xml:space="preserve"> shortly</w:t>
      </w:r>
      <w:r w:rsidR="00484A72">
        <w:rPr>
          <w:rFonts w:asciiTheme="minorHAnsi" w:hAnsiTheme="minorHAnsi" w:cstheme="minorHAnsi"/>
          <w:sz w:val="22"/>
          <w:szCs w:val="22"/>
        </w:rPr>
        <w:t>.  We will also file first quarter statements at the same time</w:t>
      </w:r>
      <w:r w:rsidR="00AE41E6">
        <w:rPr>
          <w:rFonts w:asciiTheme="minorHAnsi" w:hAnsiTheme="minorHAnsi" w:cstheme="minorHAnsi"/>
          <w:sz w:val="22"/>
          <w:szCs w:val="22"/>
        </w:rPr>
        <w:t>.</w:t>
      </w:r>
    </w:p>
    <w:p w14:paraId="14C4A2EB" w14:textId="7FADE61E" w:rsidR="00484A72" w:rsidRDefault="00484A72" w:rsidP="00484A72">
      <w:pPr>
        <w:pStyle w:val="BodyText"/>
        <w:rPr>
          <w:rFonts w:asciiTheme="minorHAnsi" w:hAnsiTheme="minorHAnsi" w:cstheme="minorHAnsi"/>
          <w:sz w:val="22"/>
          <w:szCs w:val="22"/>
        </w:rPr>
      </w:pPr>
      <w:r>
        <w:rPr>
          <w:rStyle w:val="fontstyle01"/>
          <w:rFonts w:eastAsiaTheme="majorEastAsia"/>
        </w:rPr>
        <w:t>If the extension is granted, a management cease trade order (“</w:t>
      </w:r>
      <w:r w:rsidRPr="00C94279">
        <w:rPr>
          <w:rStyle w:val="fontstyle01"/>
          <w:rFonts w:eastAsiaTheme="majorEastAsia"/>
          <w:b/>
          <w:bCs/>
        </w:rPr>
        <w:t>MCTO</w:t>
      </w:r>
      <w:r>
        <w:rPr>
          <w:rStyle w:val="fontstyle01"/>
          <w:rFonts w:eastAsiaTheme="majorEastAsia"/>
        </w:rPr>
        <w:t>”) will remain in effect until the</w:t>
      </w:r>
      <w:r w:rsidR="003108DA">
        <w:rPr>
          <w:rStyle w:val="fontstyle01"/>
          <w:rFonts w:eastAsiaTheme="majorEastAsia"/>
        </w:rPr>
        <w:t xml:space="preserve"> </w:t>
      </w:r>
      <w:r>
        <w:rPr>
          <w:rStyle w:val="fontstyle01"/>
          <w:rFonts w:eastAsiaTheme="majorEastAsia"/>
        </w:rPr>
        <w:t xml:space="preserve">Annual Filings </w:t>
      </w:r>
      <w:r w:rsidR="003108DA">
        <w:rPr>
          <w:rStyle w:val="fontstyle01"/>
          <w:rFonts w:eastAsiaTheme="majorEastAsia"/>
        </w:rPr>
        <w:t xml:space="preserve">and First Quarter </w:t>
      </w:r>
      <w:r>
        <w:rPr>
          <w:rStyle w:val="fontstyle01"/>
          <w:rFonts w:eastAsiaTheme="majorEastAsia"/>
        </w:rPr>
        <w:t>are expected to be completed on or before March 31, 2025.</w:t>
      </w:r>
    </w:p>
    <w:p w14:paraId="7FA703DD" w14:textId="400DFD4E" w:rsidR="00C8644A" w:rsidRDefault="0072118A" w:rsidP="00672A0F">
      <w:pPr>
        <w:shd w:val="clear" w:color="auto" w:fill="FFFFFF"/>
        <w:spacing w:after="120"/>
        <w:rPr>
          <w:rFonts w:asciiTheme="minorHAnsi" w:eastAsia="Times New Roman" w:hAnsiTheme="minorHAnsi" w:cstheme="minorHAnsi"/>
          <w:color w:val="333333"/>
          <w:sz w:val="22"/>
          <w:szCs w:val="22"/>
        </w:rPr>
      </w:pPr>
      <w:r w:rsidRPr="0072118A">
        <w:rPr>
          <w:rFonts w:asciiTheme="minorHAnsi" w:eastAsia="Times New Roman" w:hAnsiTheme="minorHAnsi" w:cstheme="minorHAnsi"/>
          <w:color w:val="333333"/>
          <w:sz w:val="22"/>
          <w:szCs w:val="22"/>
        </w:rPr>
        <w:t xml:space="preserve">As previously announced on </w:t>
      </w:r>
      <w:r w:rsidR="00F170A3" w:rsidRPr="00F170A3">
        <w:rPr>
          <w:rFonts w:asciiTheme="minorHAnsi" w:eastAsia="Times New Roman" w:hAnsiTheme="minorHAnsi" w:cstheme="minorHAnsi"/>
          <w:color w:val="333333"/>
          <w:sz w:val="22"/>
          <w:szCs w:val="22"/>
        </w:rPr>
        <w:t xml:space="preserve">February </w:t>
      </w:r>
      <w:r w:rsidR="00F170A3">
        <w:rPr>
          <w:rFonts w:asciiTheme="minorHAnsi" w:eastAsia="Times New Roman" w:hAnsiTheme="minorHAnsi" w:cstheme="minorHAnsi"/>
          <w:color w:val="333333"/>
          <w:sz w:val="22"/>
          <w:szCs w:val="22"/>
        </w:rPr>
        <w:t>5</w:t>
      </w:r>
      <w:r w:rsidRPr="0072118A">
        <w:rPr>
          <w:rFonts w:asciiTheme="minorHAnsi" w:eastAsia="Times New Roman" w:hAnsiTheme="minorHAnsi" w:cstheme="minorHAnsi"/>
          <w:color w:val="333333"/>
          <w:sz w:val="22"/>
          <w:szCs w:val="22"/>
        </w:rPr>
        <w:t>, 202</w:t>
      </w:r>
      <w:r w:rsidR="00C8644A">
        <w:rPr>
          <w:rFonts w:asciiTheme="minorHAnsi" w:eastAsia="Times New Roman" w:hAnsiTheme="minorHAnsi" w:cstheme="minorHAnsi"/>
          <w:color w:val="333333"/>
          <w:sz w:val="22"/>
          <w:szCs w:val="22"/>
        </w:rPr>
        <w:t>5</w:t>
      </w:r>
      <w:r w:rsidRPr="0072118A">
        <w:rPr>
          <w:rFonts w:asciiTheme="minorHAnsi" w:eastAsia="Times New Roman" w:hAnsiTheme="minorHAnsi" w:cstheme="minorHAnsi"/>
          <w:color w:val="333333"/>
          <w:sz w:val="22"/>
          <w:szCs w:val="22"/>
        </w:rPr>
        <w:t xml:space="preserve">, the Company </w:t>
      </w:r>
      <w:r w:rsidR="00F170A3">
        <w:rPr>
          <w:rFonts w:asciiTheme="minorHAnsi" w:eastAsia="Times New Roman" w:hAnsiTheme="minorHAnsi" w:cstheme="minorHAnsi"/>
          <w:color w:val="333333"/>
          <w:sz w:val="22"/>
          <w:szCs w:val="22"/>
        </w:rPr>
        <w:t xml:space="preserve">had been </w:t>
      </w:r>
      <w:r w:rsidR="00F170A3" w:rsidRPr="0072118A">
        <w:rPr>
          <w:rFonts w:asciiTheme="minorHAnsi" w:hAnsiTheme="minorHAnsi" w:cstheme="minorHAnsi"/>
          <w:sz w:val="22"/>
        </w:rPr>
        <w:t xml:space="preserve">granted </w:t>
      </w:r>
      <w:r w:rsidRPr="0072118A">
        <w:rPr>
          <w:rFonts w:asciiTheme="minorHAnsi" w:eastAsia="Times New Roman" w:hAnsiTheme="minorHAnsi" w:cstheme="minorHAnsi"/>
          <w:color w:val="333333"/>
          <w:sz w:val="22"/>
          <w:szCs w:val="22"/>
        </w:rPr>
        <w:t>the MCTO due to a</w:t>
      </w:r>
      <w:r w:rsidR="003F1701">
        <w:rPr>
          <w:rFonts w:asciiTheme="minorHAnsi" w:eastAsia="Times New Roman" w:hAnsiTheme="minorHAnsi" w:cstheme="minorHAnsi"/>
          <w:color w:val="333333"/>
          <w:sz w:val="22"/>
          <w:szCs w:val="22"/>
        </w:rPr>
        <w:t>n anticipated</w:t>
      </w:r>
      <w:r w:rsidRPr="0072118A">
        <w:rPr>
          <w:rFonts w:asciiTheme="minorHAnsi" w:eastAsia="Times New Roman" w:hAnsiTheme="minorHAnsi" w:cstheme="minorHAnsi"/>
          <w:color w:val="333333"/>
          <w:sz w:val="22"/>
          <w:szCs w:val="22"/>
        </w:rPr>
        <w:t xml:space="preserve"> delay in filing its</w:t>
      </w:r>
      <w:r w:rsidR="00C8644A">
        <w:rPr>
          <w:rFonts w:asciiTheme="minorHAnsi" w:eastAsia="Times New Roman" w:hAnsiTheme="minorHAnsi" w:cstheme="minorHAnsi"/>
          <w:color w:val="333333"/>
          <w:sz w:val="22"/>
          <w:szCs w:val="22"/>
        </w:rPr>
        <w:t xml:space="preserve"> </w:t>
      </w:r>
      <w:r w:rsidRPr="0072118A">
        <w:rPr>
          <w:rFonts w:asciiTheme="minorHAnsi" w:eastAsia="Times New Roman" w:hAnsiTheme="minorHAnsi" w:cstheme="minorHAnsi"/>
          <w:color w:val="333333"/>
          <w:sz w:val="22"/>
          <w:szCs w:val="22"/>
        </w:rPr>
        <w:t xml:space="preserve">audited annual financial statements and related </w:t>
      </w:r>
      <w:r w:rsidR="00800D9F" w:rsidRPr="0072118A">
        <w:rPr>
          <w:rFonts w:asciiTheme="minorHAnsi" w:eastAsia="Times New Roman" w:hAnsiTheme="minorHAnsi" w:cstheme="minorHAnsi"/>
          <w:color w:val="333333"/>
          <w:sz w:val="22"/>
          <w:szCs w:val="22"/>
        </w:rPr>
        <w:t>management</w:t>
      </w:r>
      <w:r w:rsidRPr="0072118A">
        <w:rPr>
          <w:rFonts w:asciiTheme="minorHAnsi" w:eastAsia="Times New Roman" w:hAnsiTheme="minorHAnsi" w:cstheme="minorHAnsi"/>
          <w:color w:val="333333"/>
          <w:sz w:val="22"/>
          <w:szCs w:val="22"/>
        </w:rPr>
        <w:t xml:space="preserve"> discussion and analysis, and certifications for the financial year ended September 30, 2024 (the "</w:t>
      </w:r>
      <w:r w:rsidR="00C8644A" w:rsidRPr="00C94279">
        <w:rPr>
          <w:rFonts w:asciiTheme="minorHAnsi" w:eastAsia="Times New Roman" w:hAnsiTheme="minorHAnsi" w:cstheme="minorHAnsi"/>
          <w:b/>
          <w:bCs/>
          <w:color w:val="333333"/>
          <w:sz w:val="22"/>
          <w:szCs w:val="22"/>
        </w:rPr>
        <w:t>Annual</w:t>
      </w:r>
      <w:r w:rsidRPr="00C94279">
        <w:rPr>
          <w:rFonts w:asciiTheme="minorHAnsi" w:eastAsia="Times New Roman" w:hAnsiTheme="minorHAnsi" w:cstheme="minorHAnsi"/>
          <w:b/>
          <w:bCs/>
          <w:color w:val="333333"/>
          <w:sz w:val="22"/>
          <w:szCs w:val="22"/>
        </w:rPr>
        <w:t xml:space="preserve"> Filings</w:t>
      </w:r>
      <w:r w:rsidRPr="0072118A">
        <w:rPr>
          <w:rFonts w:asciiTheme="minorHAnsi" w:eastAsia="Times New Roman" w:hAnsiTheme="minorHAnsi" w:cstheme="minorHAnsi"/>
          <w:color w:val="333333"/>
          <w:sz w:val="22"/>
          <w:szCs w:val="22"/>
        </w:rPr>
        <w:t>")</w:t>
      </w:r>
      <w:r w:rsidR="003F1701">
        <w:rPr>
          <w:rFonts w:asciiTheme="minorHAnsi" w:eastAsia="Times New Roman" w:hAnsiTheme="minorHAnsi" w:cstheme="minorHAnsi"/>
          <w:color w:val="333333"/>
          <w:sz w:val="22"/>
          <w:szCs w:val="22"/>
        </w:rPr>
        <w:t>, which were due to be filed on January 28, 2025</w:t>
      </w:r>
      <w:r w:rsidRPr="0072118A">
        <w:rPr>
          <w:rFonts w:asciiTheme="minorHAnsi" w:eastAsia="Times New Roman" w:hAnsiTheme="minorHAnsi" w:cstheme="minorHAnsi"/>
          <w:color w:val="333333"/>
          <w:sz w:val="22"/>
          <w:szCs w:val="22"/>
        </w:rPr>
        <w:t xml:space="preserve">. The delay </w:t>
      </w:r>
      <w:r w:rsidR="003F1701">
        <w:rPr>
          <w:rFonts w:asciiTheme="minorHAnsi" w:eastAsia="Times New Roman" w:hAnsiTheme="minorHAnsi" w:cstheme="minorHAnsi"/>
          <w:color w:val="333333"/>
          <w:sz w:val="22"/>
          <w:szCs w:val="22"/>
        </w:rPr>
        <w:t>in</w:t>
      </w:r>
      <w:r w:rsidRPr="0072118A">
        <w:rPr>
          <w:rFonts w:asciiTheme="minorHAnsi" w:eastAsia="Times New Roman" w:hAnsiTheme="minorHAnsi" w:cstheme="minorHAnsi"/>
          <w:color w:val="333333"/>
          <w:sz w:val="22"/>
          <w:szCs w:val="22"/>
        </w:rPr>
        <w:t xml:space="preserve"> </w:t>
      </w:r>
      <w:r w:rsidR="003F1701">
        <w:rPr>
          <w:rFonts w:asciiTheme="minorHAnsi" w:eastAsia="Times New Roman" w:hAnsiTheme="minorHAnsi" w:cstheme="minorHAnsi"/>
          <w:color w:val="333333"/>
          <w:sz w:val="22"/>
          <w:szCs w:val="22"/>
        </w:rPr>
        <w:t>filing</w:t>
      </w:r>
      <w:r w:rsidRPr="0072118A">
        <w:rPr>
          <w:rFonts w:asciiTheme="minorHAnsi" w:eastAsia="Times New Roman" w:hAnsiTheme="minorHAnsi" w:cstheme="minorHAnsi"/>
          <w:color w:val="333333"/>
          <w:sz w:val="22"/>
          <w:szCs w:val="22"/>
        </w:rPr>
        <w:t xml:space="preserve"> the </w:t>
      </w:r>
      <w:r w:rsidR="00C8644A">
        <w:rPr>
          <w:rFonts w:asciiTheme="minorHAnsi" w:eastAsia="Times New Roman" w:hAnsiTheme="minorHAnsi" w:cstheme="minorHAnsi"/>
          <w:color w:val="333333"/>
          <w:sz w:val="22"/>
          <w:szCs w:val="22"/>
        </w:rPr>
        <w:t>Annual</w:t>
      </w:r>
      <w:r w:rsidRPr="0072118A">
        <w:rPr>
          <w:rFonts w:asciiTheme="minorHAnsi" w:eastAsia="Times New Roman" w:hAnsiTheme="minorHAnsi" w:cstheme="minorHAnsi"/>
          <w:color w:val="333333"/>
          <w:sz w:val="22"/>
          <w:szCs w:val="22"/>
        </w:rPr>
        <w:t xml:space="preserve"> Filings is </w:t>
      </w:r>
      <w:r w:rsidR="00C8644A">
        <w:rPr>
          <w:rFonts w:asciiTheme="minorHAnsi" w:eastAsia="Times New Roman" w:hAnsiTheme="minorHAnsi" w:cstheme="minorHAnsi"/>
          <w:color w:val="333333"/>
          <w:sz w:val="22"/>
          <w:szCs w:val="22"/>
        </w:rPr>
        <w:t>because:</w:t>
      </w:r>
      <w:r w:rsidRPr="0072118A">
        <w:rPr>
          <w:rFonts w:asciiTheme="minorHAnsi" w:eastAsia="Times New Roman" w:hAnsiTheme="minorHAnsi" w:cstheme="minorHAnsi"/>
          <w:color w:val="333333"/>
          <w:sz w:val="22"/>
          <w:szCs w:val="22"/>
        </w:rPr>
        <w:t xml:space="preserve"> </w:t>
      </w:r>
      <w:r w:rsidR="00C8644A" w:rsidRPr="00C8644A">
        <w:rPr>
          <w:rFonts w:asciiTheme="minorHAnsi" w:eastAsia="Times New Roman" w:hAnsiTheme="minorHAnsi" w:cstheme="minorHAnsi"/>
          <w:color w:val="333333"/>
          <w:sz w:val="22"/>
          <w:szCs w:val="22"/>
        </w:rPr>
        <w:t>(i) this is the first audit the Company has been required to complete since completion of its Qualifying Transaction in November 2023; (ii) MNP was appointed as the auditor of the Company concurrently with the completion of the Qualifying Transaction and, as such, this is the first audit of the Company conducted by MNP; (iii) the Company completed additional acquisitions during its fiscal year ended September 30, 202</w:t>
      </w:r>
      <w:r w:rsidR="003F1701">
        <w:rPr>
          <w:rFonts w:asciiTheme="minorHAnsi" w:eastAsia="Times New Roman" w:hAnsiTheme="minorHAnsi" w:cstheme="minorHAnsi"/>
          <w:color w:val="333333"/>
          <w:sz w:val="22"/>
          <w:szCs w:val="22"/>
        </w:rPr>
        <w:t>4, adding complexity to the audit</w:t>
      </w:r>
      <w:r w:rsidR="00C8644A" w:rsidRPr="00C8644A">
        <w:rPr>
          <w:rFonts w:asciiTheme="minorHAnsi" w:eastAsia="Times New Roman" w:hAnsiTheme="minorHAnsi" w:cstheme="minorHAnsi"/>
          <w:color w:val="333333"/>
          <w:sz w:val="22"/>
          <w:szCs w:val="22"/>
        </w:rPr>
        <w:t>; and (iv) Michael Ertle has only recently been appointed as the Chief Financial Officer of the Company.</w:t>
      </w:r>
    </w:p>
    <w:p w14:paraId="4697AD7E" w14:textId="3353CB3E" w:rsidR="00F06F9F" w:rsidRDefault="00C8644A" w:rsidP="00672A0F">
      <w:pPr>
        <w:shd w:val="clear" w:color="auto" w:fill="FFFFFF"/>
        <w:spacing w:after="120"/>
        <w:rPr>
          <w:rFonts w:asciiTheme="minorHAnsi" w:eastAsia="Times New Roman" w:hAnsiTheme="minorHAnsi" w:cstheme="minorHAnsi"/>
          <w:color w:val="333333"/>
          <w:sz w:val="22"/>
          <w:szCs w:val="22"/>
        </w:rPr>
      </w:pPr>
      <w:r w:rsidRPr="00C8644A">
        <w:rPr>
          <w:rFonts w:asciiTheme="minorHAnsi" w:eastAsia="Times New Roman" w:hAnsiTheme="minorHAnsi" w:cstheme="minorHAnsi"/>
          <w:color w:val="333333"/>
          <w:sz w:val="22"/>
          <w:szCs w:val="22"/>
        </w:rPr>
        <w:t xml:space="preserve">The Company is working diligently and expeditiously with MNP in order to complete the Annual Filings as soon as practicable, and currently anticipates that it will be a position to remedy any filing default and return to compliance by completing the Annual Filings </w:t>
      </w:r>
      <w:r w:rsidR="007E7709">
        <w:rPr>
          <w:rFonts w:asciiTheme="minorHAnsi" w:eastAsia="Times New Roman" w:hAnsiTheme="minorHAnsi" w:cstheme="minorHAnsi"/>
          <w:color w:val="333333"/>
          <w:sz w:val="22"/>
          <w:szCs w:val="22"/>
        </w:rPr>
        <w:t xml:space="preserve">and </w:t>
      </w:r>
      <w:r w:rsidR="007E7709">
        <w:rPr>
          <w:rStyle w:val="fontstyle01"/>
          <w:rFonts w:eastAsiaTheme="majorEastAsia"/>
        </w:rPr>
        <w:t xml:space="preserve">First Quarter </w:t>
      </w:r>
      <w:r w:rsidRPr="00C8644A">
        <w:rPr>
          <w:rFonts w:asciiTheme="minorHAnsi" w:eastAsia="Times New Roman" w:hAnsiTheme="minorHAnsi" w:cstheme="minorHAnsi"/>
          <w:color w:val="333333"/>
          <w:sz w:val="22"/>
          <w:szCs w:val="22"/>
        </w:rPr>
        <w:t xml:space="preserve">on or before </w:t>
      </w:r>
      <w:r w:rsidR="00F170A3">
        <w:rPr>
          <w:rFonts w:asciiTheme="minorHAnsi" w:eastAsia="Times New Roman" w:hAnsiTheme="minorHAnsi" w:cstheme="minorHAnsi"/>
          <w:color w:val="333333"/>
          <w:sz w:val="22"/>
          <w:szCs w:val="22"/>
        </w:rPr>
        <w:t xml:space="preserve">March </w:t>
      </w:r>
      <w:r w:rsidR="007E7709">
        <w:rPr>
          <w:rFonts w:asciiTheme="minorHAnsi" w:eastAsia="Times New Roman" w:hAnsiTheme="minorHAnsi" w:cstheme="minorHAnsi"/>
          <w:color w:val="333333"/>
          <w:sz w:val="22"/>
          <w:szCs w:val="22"/>
        </w:rPr>
        <w:t>31</w:t>
      </w:r>
      <w:r w:rsidRPr="00C8644A">
        <w:rPr>
          <w:rFonts w:asciiTheme="minorHAnsi" w:eastAsia="Times New Roman" w:hAnsiTheme="minorHAnsi" w:cstheme="minorHAnsi"/>
          <w:color w:val="333333"/>
          <w:sz w:val="22"/>
          <w:szCs w:val="22"/>
        </w:rPr>
        <w:t>, 2025.</w:t>
      </w:r>
      <w:r w:rsidR="0072118A" w:rsidRPr="0072118A">
        <w:rPr>
          <w:rFonts w:asciiTheme="minorHAnsi" w:eastAsia="Times New Roman" w:hAnsiTheme="minorHAnsi" w:cstheme="minorHAnsi"/>
          <w:color w:val="333333"/>
          <w:sz w:val="22"/>
          <w:szCs w:val="22"/>
        </w:rPr>
        <w:t xml:space="preserve"> </w:t>
      </w:r>
    </w:p>
    <w:p w14:paraId="12306328" w14:textId="51032AB4" w:rsidR="0072118A" w:rsidRPr="0072118A" w:rsidRDefault="0072118A" w:rsidP="00F06F9F">
      <w:pPr>
        <w:shd w:val="clear" w:color="auto" w:fill="FFFFFF"/>
        <w:spacing w:after="240"/>
        <w:rPr>
          <w:rFonts w:asciiTheme="minorHAnsi" w:eastAsia="Times New Roman" w:hAnsiTheme="minorHAnsi" w:cstheme="minorHAnsi"/>
          <w:color w:val="333333"/>
          <w:sz w:val="22"/>
          <w:szCs w:val="22"/>
        </w:rPr>
      </w:pPr>
      <w:r w:rsidRPr="0072118A">
        <w:rPr>
          <w:rFonts w:asciiTheme="minorHAnsi" w:eastAsia="Times New Roman" w:hAnsiTheme="minorHAnsi" w:cstheme="minorHAnsi"/>
          <w:color w:val="333333"/>
          <w:sz w:val="22"/>
          <w:szCs w:val="22"/>
        </w:rPr>
        <w:t xml:space="preserve">The MCTO restricts the Company's </w:t>
      </w:r>
      <w:r w:rsidR="003F1701">
        <w:rPr>
          <w:rFonts w:asciiTheme="minorHAnsi" w:eastAsia="Times New Roman" w:hAnsiTheme="minorHAnsi" w:cstheme="minorHAnsi"/>
          <w:color w:val="333333"/>
          <w:sz w:val="22"/>
          <w:szCs w:val="22"/>
        </w:rPr>
        <w:t>CEO</w:t>
      </w:r>
      <w:r w:rsidR="00BB0A23">
        <w:rPr>
          <w:rFonts w:asciiTheme="minorHAnsi" w:eastAsia="Times New Roman" w:hAnsiTheme="minorHAnsi" w:cstheme="minorHAnsi"/>
          <w:color w:val="333333"/>
          <w:sz w:val="22"/>
          <w:szCs w:val="22"/>
        </w:rPr>
        <w:t xml:space="preserve">, </w:t>
      </w:r>
      <w:r w:rsidR="003F1701">
        <w:rPr>
          <w:rFonts w:asciiTheme="minorHAnsi" w:eastAsia="Times New Roman" w:hAnsiTheme="minorHAnsi" w:cstheme="minorHAnsi"/>
          <w:color w:val="333333"/>
          <w:sz w:val="22"/>
          <w:szCs w:val="22"/>
        </w:rPr>
        <w:t>CFO</w:t>
      </w:r>
      <w:r w:rsidR="00BB0A23">
        <w:rPr>
          <w:rFonts w:asciiTheme="minorHAnsi" w:eastAsia="Times New Roman" w:hAnsiTheme="minorHAnsi" w:cstheme="minorHAnsi"/>
          <w:color w:val="333333"/>
          <w:sz w:val="22"/>
          <w:szCs w:val="22"/>
        </w:rPr>
        <w:t xml:space="preserve">, board and management </w:t>
      </w:r>
      <w:r w:rsidRPr="0072118A">
        <w:rPr>
          <w:rFonts w:asciiTheme="minorHAnsi" w:eastAsia="Times New Roman" w:hAnsiTheme="minorHAnsi" w:cstheme="minorHAnsi"/>
          <w:color w:val="333333"/>
          <w:sz w:val="22"/>
          <w:szCs w:val="22"/>
        </w:rPr>
        <w:t xml:space="preserve">from all trading in securities of the Company until </w:t>
      </w:r>
      <w:r w:rsidR="003F1701">
        <w:rPr>
          <w:rFonts w:asciiTheme="minorHAnsi" w:eastAsia="Times New Roman" w:hAnsiTheme="minorHAnsi" w:cstheme="minorHAnsi"/>
          <w:color w:val="333333"/>
          <w:sz w:val="22"/>
          <w:szCs w:val="22"/>
        </w:rPr>
        <w:t xml:space="preserve">two full business days following the receipt by the Commission of </w:t>
      </w:r>
      <w:r w:rsidRPr="0072118A">
        <w:rPr>
          <w:rFonts w:asciiTheme="minorHAnsi" w:eastAsia="Times New Roman" w:hAnsiTheme="minorHAnsi" w:cstheme="minorHAnsi"/>
          <w:color w:val="333333"/>
          <w:sz w:val="22"/>
          <w:szCs w:val="22"/>
        </w:rPr>
        <w:t xml:space="preserve">the </w:t>
      </w:r>
      <w:r w:rsidR="003F1701">
        <w:rPr>
          <w:rFonts w:asciiTheme="minorHAnsi" w:eastAsia="Times New Roman" w:hAnsiTheme="minorHAnsi" w:cstheme="minorHAnsi"/>
          <w:color w:val="333333"/>
          <w:sz w:val="22"/>
          <w:szCs w:val="22"/>
        </w:rPr>
        <w:t>Annual</w:t>
      </w:r>
      <w:r w:rsidRPr="0072118A">
        <w:rPr>
          <w:rFonts w:asciiTheme="minorHAnsi" w:eastAsia="Times New Roman" w:hAnsiTheme="minorHAnsi" w:cstheme="minorHAnsi"/>
          <w:color w:val="333333"/>
          <w:sz w:val="22"/>
          <w:szCs w:val="22"/>
        </w:rPr>
        <w:t xml:space="preserve"> Filings</w:t>
      </w:r>
      <w:r w:rsidR="003F1701">
        <w:rPr>
          <w:rFonts w:asciiTheme="minorHAnsi" w:eastAsia="Times New Roman" w:hAnsiTheme="minorHAnsi" w:cstheme="minorHAnsi"/>
          <w:color w:val="333333"/>
          <w:sz w:val="22"/>
          <w:szCs w:val="22"/>
        </w:rPr>
        <w:t xml:space="preserve">, or further order of the OSC. </w:t>
      </w:r>
      <w:r w:rsidRPr="0072118A">
        <w:rPr>
          <w:rFonts w:asciiTheme="minorHAnsi" w:eastAsia="Times New Roman" w:hAnsiTheme="minorHAnsi" w:cstheme="minorHAnsi"/>
          <w:color w:val="333333"/>
          <w:sz w:val="22"/>
          <w:szCs w:val="22"/>
        </w:rPr>
        <w:t xml:space="preserve">The MCTO does not affect the ability of other shareholders of the Company to trade in securities of the Company. Until the Company files the </w:t>
      </w:r>
      <w:r w:rsidR="003F1701">
        <w:rPr>
          <w:rFonts w:asciiTheme="minorHAnsi" w:eastAsia="Times New Roman" w:hAnsiTheme="minorHAnsi" w:cstheme="minorHAnsi"/>
          <w:color w:val="333333"/>
          <w:sz w:val="22"/>
          <w:szCs w:val="22"/>
        </w:rPr>
        <w:t>Annual</w:t>
      </w:r>
      <w:r w:rsidRPr="0072118A">
        <w:rPr>
          <w:rFonts w:asciiTheme="minorHAnsi" w:eastAsia="Times New Roman" w:hAnsiTheme="minorHAnsi" w:cstheme="minorHAnsi"/>
          <w:color w:val="333333"/>
          <w:sz w:val="22"/>
          <w:szCs w:val="22"/>
        </w:rPr>
        <w:t xml:space="preserve"> Filings, it will comply with the alternative information guidelines set out in </w:t>
      </w:r>
      <w:r w:rsidRPr="00F06F9F">
        <w:rPr>
          <w:rFonts w:asciiTheme="minorHAnsi" w:eastAsia="Times New Roman" w:hAnsiTheme="minorHAnsi" w:cstheme="minorHAnsi"/>
          <w:i/>
          <w:iCs/>
          <w:color w:val="333333"/>
          <w:sz w:val="22"/>
          <w:szCs w:val="22"/>
        </w:rPr>
        <w:t>National Policy 12-203 - Management Cease Trade Orders</w:t>
      </w:r>
      <w:r w:rsidRPr="0072118A">
        <w:rPr>
          <w:rFonts w:asciiTheme="minorHAnsi" w:eastAsia="Times New Roman" w:hAnsiTheme="minorHAnsi" w:cstheme="minorHAnsi"/>
          <w:color w:val="333333"/>
          <w:sz w:val="22"/>
          <w:szCs w:val="22"/>
        </w:rPr>
        <w:t>.</w:t>
      </w:r>
    </w:p>
    <w:p w14:paraId="67203FDE" w14:textId="6558BAFD" w:rsidR="00672A0F" w:rsidRPr="00B21CD8" w:rsidRDefault="00672A0F" w:rsidP="00672A0F">
      <w:pPr>
        <w:shd w:val="clear" w:color="auto" w:fill="FFFFFF"/>
        <w:spacing w:after="120"/>
        <w:rPr>
          <w:rFonts w:asciiTheme="minorHAnsi" w:eastAsia="Times New Roman" w:hAnsiTheme="minorHAnsi" w:cstheme="minorHAnsi"/>
          <w:color w:val="333333"/>
          <w:sz w:val="22"/>
          <w:szCs w:val="22"/>
        </w:rPr>
      </w:pPr>
      <w:r w:rsidRPr="00B21CD8">
        <w:rPr>
          <w:rFonts w:asciiTheme="minorHAnsi" w:eastAsia="Times New Roman" w:hAnsiTheme="minorHAnsi" w:cstheme="minorHAnsi"/>
          <w:b/>
          <w:bCs/>
          <w:color w:val="333333"/>
          <w:sz w:val="22"/>
          <w:szCs w:val="22"/>
        </w:rPr>
        <w:t>About Xcyte Digital Corp.</w:t>
      </w:r>
    </w:p>
    <w:p w14:paraId="5B3F168A" w14:textId="39F24FB8" w:rsidR="00672A0F" w:rsidRPr="00B21CD8" w:rsidRDefault="00672A0F" w:rsidP="00672A0F">
      <w:pPr>
        <w:shd w:val="clear" w:color="auto" w:fill="FFFFFF"/>
        <w:spacing w:after="150"/>
        <w:rPr>
          <w:rFonts w:asciiTheme="minorHAnsi" w:eastAsia="Times New Roman" w:hAnsiTheme="minorHAnsi" w:cstheme="minorHAnsi"/>
          <w:color w:val="333333"/>
          <w:sz w:val="22"/>
          <w:szCs w:val="22"/>
        </w:rPr>
      </w:pPr>
      <w:r w:rsidRPr="00B21CD8">
        <w:rPr>
          <w:rFonts w:asciiTheme="minorHAnsi" w:eastAsia="Times New Roman" w:hAnsiTheme="minorHAnsi" w:cstheme="minorHAnsi"/>
          <w:color w:val="333333"/>
          <w:sz w:val="22"/>
          <w:szCs w:val="22"/>
        </w:rPr>
        <w:t>Xcyte Digital Corp. (TSXV: XCYT) is a trusted global events technology partner, specializing in next</w:t>
      </w:r>
      <w:r>
        <w:rPr>
          <w:rFonts w:asciiTheme="minorHAnsi" w:eastAsia="Times New Roman" w:hAnsiTheme="minorHAnsi" w:cstheme="minorHAnsi"/>
          <w:color w:val="333333"/>
          <w:sz w:val="22"/>
          <w:szCs w:val="22"/>
        </w:rPr>
        <w:t xml:space="preserve"> </w:t>
      </w:r>
      <w:r w:rsidRPr="00B21CD8">
        <w:rPr>
          <w:rFonts w:asciiTheme="minorHAnsi" w:eastAsia="Times New Roman" w:hAnsiTheme="minorHAnsi" w:cstheme="minorHAnsi"/>
          <w:color w:val="333333"/>
          <w:sz w:val="22"/>
          <w:szCs w:val="22"/>
        </w:rPr>
        <w:t>generation event technology for physical, hybrid, virtual, immersive and phone-based events. Combining proprietary technology with a robust partner ecosystem, Xcyte offers both do-it-yourself and managed services, ensuring secure and scalable solutions worldwide. Thousands of clients, from innovative startups to major corporations, rely on Xcyte</w:t>
      </w:r>
      <w:r>
        <w:rPr>
          <w:rFonts w:asciiTheme="minorHAnsi" w:eastAsia="Times New Roman" w:hAnsiTheme="minorHAnsi" w:cstheme="minorHAnsi"/>
          <w:color w:val="333333"/>
          <w:sz w:val="22"/>
          <w:szCs w:val="22"/>
        </w:rPr>
        <w:t>’</w:t>
      </w:r>
      <w:r w:rsidRPr="00B21CD8">
        <w:rPr>
          <w:rFonts w:asciiTheme="minorHAnsi" w:eastAsia="Times New Roman" w:hAnsiTheme="minorHAnsi" w:cstheme="minorHAnsi"/>
          <w:color w:val="333333"/>
          <w:sz w:val="22"/>
          <w:szCs w:val="22"/>
        </w:rPr>
        <w:t xml:space="preserve">s cost-effective, multi-platform subscription model to meet their event needs. Xcyte Digital is headquartered in Canada and the USA, with operations across the globe. Visit us at </w:t>
      </w:r>
      <w:hyperlink r:id="rId8" w:history="1">
        <w:r w:rsidRPr="00B21CD8">
          <w:rPr>
            <w:rStyle w:val="Hyperlink"/>
            <w:rFonts w:asciiTheme="minorHAnsi" w:hAnsiTheme="minorHAnsi" w:cstheme="minorHAnsi"/>
            <w:sz w:val="22"/>
            <w:szCs w:val="22"/>
          </w:rPr>
          <w:t>xcytedigital.com</w:t>
        </w:r>
      </w:hyperlink>
      <w:r w:rsidRPr="00B21CD8">
        <w:rPr>
          <w:rFonts w:asciiTheme="minorHAnsi" w:eastAsia="Times New Roman" w:hAnsiTheme="minorHAnsi" w:cstheme="minorHAnsi"/>
          <w:color w:val="333333"/>
          <w:sz w:val="22"/>
          <w:szCs w:val="22"/>
        </w:rPr>
        <w:t>.</w:t>
      </w:r>
    </w:p>
    <w:p w14:paraId="1E50A5BE" w14:textId="77777777" w:rsidR="00672A0F" w:rsidRPr="00B21CD8" w:rsidRDefault="00672A0F" w:rsidP="00672A0F">
      <w:pPr>
        <w:shd w:val="clear" w:color="auto" w:fill="FFFFFF"/>
        <w:spacing w:after="150"/>
        <w:rPr>
          <w:rFonts w:asciiTheme="minorHAnsi" w:eastAsia="Times New Roman" w:hAnsiTheme="minorHAnsi" w:cstheme="minorHAnsi"/>
          <w:b/>
          <w:bCs/>
          <w:color w:val="333333"/>
          <w:sz w:val="22"/>
          <w:szCs w:val="22"/>
        </w:rPr>
      </w:pPr>
      <w:r w:rsidRPr="00B21CD8">
        <w:rPr>
          <w:rFonts w:asciiTheme="minorHAnsi" w:eastAsia="Times New Roman" w:hAnsiTheme="minorHAnsi" w:cstheme="minorHAnsi"/>
          <w:b/>
          <w:bCs/>
          <w:color w:val="333333"/>
          <w:sz w:val="22"/>
          <w:szCs w:val="22"/>
        </w:rPr>
        <w:t>For more information contact:</w:t>
      </w:r>
    </w:p>
    <w:p w14:paraId="16F33C4C" w14:textId="77777777" w:rsidR="00672A0F" w:rsidRPr="00B21CD8" w:rsidRDefault="00672A0F" w:rsidP="00672A0F">
      <w:pPr>
        <w:shd w:val="clear" w:color="auto" w:fill="FFFFFF"/>
        <w:jc w:val="left"/>
        <w:rPr>
          <w:rFonts w:asciiTheme="minorHAnsi" w:eastAsia="Times New Roman" w:hAnsiTheme="minorHAnsi" w:cstheme="minorHAnsi"/>
          <w:b/>
          <w:bCs/>
          <w:color w:val="333333"/>
          <w:sz w:val="22"/>
          <w:szCs w:val="22"/>
          <w:lang w:val="en-CA"/>
        </w:rPr>
      </w:pPr>
      <w:r w:rsidRPr="00B21CD8">
        <w:rPr>
          <w:rFonts w:asciiTheme="minorHAnsi" w:eastAsia="Times New Roman" w:hAnsiTheme="minorHAnsi" w:cstheme="minorHAnsi"/>
          <w:b/>
          <w:bCs/>
          <w:color w:val="333333"/>
          <w:sz w:val="22"/>
          <w:szCs w:val="22"/>
          <w:lang w:val="en-CA"/>
        </w:rPr>
        <w:t xml:space="preserve">Xcyte Digital Corp. </w:t>
      </w:r>
    </w:p>
    <w:p w14:paraId="0C5CF406" w14:textId="77777777" w:rsidR="00672A0F" w:rsidRPr="00B21CD8" w:rsidRDefault="00672A0F" w:rsidP="00672A0F">
      <w:pPr>
        <w:shd w:val="clear" w:color="auto" w:fill="FFFFFF"/>
        <w:jc w:val="left"/>
        <w:rPr>
          <w:rFonts w:asciiTheme="minorHAnsi" w:eastAsia="Times New Roman" w:hAnsiTheme="minorHAnsi" w:cstheme="minorHAnsi"/>
          <w:color w:val="333333"/>
          <w:sz w:val="22"/>
          <w:szCs w:val="22"/>
          <w:lang w:val="en-CA"/>
        </w:rPr>
      </w:pPr>
      <w:r w:rsidRPr="00B21CD8">
        <w:rPr>
          <w:rFonts w:asciiTheme="minorHAnsi" w:eastAsia="Times New Roman" w:hAnsiTheme="minorHAnsi" w:cstheme="minorHAnsi"/>
          <w:color w:val="333333"/>
          <w:sz w:val="22"/>
          <w:szCs w:val="22"/>
          <w:lang w:val="en-CA"/>
        </w:rPr>
        <w:t xml:space="preserve">Randy Selman, Chief Executive Officer and Director </w:t>
      </w:r>
    </w:p>
    <w:p w14:paraId="650A376F" w14:textId="77777777" w:rsidR="00672A0F" w:rsidRPr="00A875D4" w:rsidRDefault="00672A0F" w:rsidP="00672A0F">
      <w:pPr>
        <w:shd w:val="clear" w:color="auto" w:fill="FFFFFF"/>
        <w:jc w:val="left"/>
        <w:rPr>
          <w:rFonts w:asciiTheme="minorHAnsi" w:eastAsia="Times New Roman" w:hAnsiTheme="minorHAnsi" w:cstheme="minorHAnsi"/>
          <w:color w:val="333333"/>
          <w:sz w:val="22"/>
          <w:szCs w:val="22"/>
          <w:lang w:val="fr-FR"/>
        </w:rPr>
      </w:pPr>
      <w:r w:rsidRPr="00A875D4">
        <w:rPr>
          <w:rFonts w:asciiTheme="minorHAnsi" w:eastAsia="Times New Roman" w:hAnsiTheme="minorHAnsi" w:cstheme="minorHAnsi"/>
          <w:color w:val="333333"/>
          <w:sz w:val="22"/>
          <w:szCs w:val="22"/>
          <w:lang w:val="fr-FR"/>
        </w:rPr>
        <w:t xml:space="preserve">Phone: (647) 777 7501 </w:t>
      </w:r>
    </w:p>
    <w:p w14:paraId="53FD9270" w14:textId="77777777" w:rsidR="00672A0F" w:rsidRPr="00A875D4" w:rsidRDefault="00672A0F" w:rsidP="00672A0F">
      <w:pPr>
        <w:shd w:val="clear" w:color="auto" w:fill="FFFFFF"/>
        <w:jc w:val="left"/>
        <w:rPr>
          <w:rFonts w:asciiTheme="minorHAnsi" w:eastAsia="Times New Roman" w:hAnsiTheme="minorHAnsi" w:cstheme="minorHAnsi"/>
          <w:color w:val="333333"/>
          <w:sz w:val="22"/>
          <w:szCs w:val="22"/>
          <w:lang w:val="fr-FR"/>
        </w:rPr>
      </w:pPr>
      <w:r w:rsidRPr="00A875D4">
        <w:rPr>
          <w:rFonts w:asciiTheme="minorHAnsi" w:eastAsia="Times New Roman" w:hAnsiTheme="minorHAnsi" w:cstheme="minorHAnsi"/>
          <w:color w:val="333333"/>
          <w:sz w:val="22"/>
          <w:szCs w:val="22"/>
          <w:lang w:val="fr-FR"/>
        </w:rPr>
        <w:t xml:space="preserve">Email: </w:t>
      </w:r>
      <w:hyperlink r:id="rId9" w:history="1">
        <w:r w:rsidRPr="00A875D4">
          <w:rPr>
            <w:rStyle w:val="Hyperlink"/>
            <w:rFonts w:asciiTheme="minorHAnsi" w:hAnsiTheme="minorHAnsi" w:cstheme="minorHAnsi"/>
            <w:sz w:val="22"/>
            <w:szCs w:val="22"/>
            <w:lang w:val="fr-FR"/>
          </w:rPr>
          <w:t>investment@xcytedigital.com</w:t>
        </w:r>
      </w:hyperlink>
    </w:p>
    <w:p w14:paraId="41E7A8DB" w14:textId="77777777" w:rsidR="00672A0F" w:rsidRPr="00A875D4" w:rsidRDefault="00672A0F" w:rsidP="00672A0F">
      <w:pPr>
        <w:shd w:val="clear" w:color="auto" w:fill="FFFFFF"/>
        <w:spacing w:after="150"/>
        <w:jc w:val="left"/>
        <w:rPr>
          <w:rFonts w:asciiTheme="minorHAnsi" w:eastAsia="Times New Roman" w:hAnsiTheme="minorHAnsi" w:cstheme="minorHAnsi"/>
          <w:color w:val="333333"/>
          <w:sz w:val="22"/>
          <w:szCs w:val="22"/>
          <w:lang w:val="fr-FR"/>
        </w:rPr>
      </w:pPr>
    </w:p>
    <w:p w14:paraId="6F45AF0D" w14:textId="77777777" w:rsidR="00672A0F" w:rsidRPr="00A875D4" w:rsidRDefault="00672A0F" w:rsidP="00672A0F">
      <w:pPr>
        <w:shd w:val="clear" w:color="auto" w:fill="FFFFFF"/>
        <w:jc w:val="left"/>
        <w:rPr>
          <w:rFonts w:asciiTheme="minorHAnsi" w:eastAsia="Times New Roman" w:hAnsiTheme="minorHAnsi" w:cstheme="minorHAnsi"/>
          <w:b/>
          <w:bCs/>
          <w:color w:val="333333"/>
          <w:sz w:val="22"/>
          <w:szCs w:val="22"/>
          <w:lang w:val="fr-FR"/>
        </w:rPr>
      </w:pPr>
      <w:r w:rsidRPr="00A875D4">
        <w:rPr>
          <w:rFonts w:asciiTheme="minorHAnsi" w:eastAsia="Times New Roman" w:hAnsiTheme="minorHAnsi" w:cstheme="minorHAnsi"/>
          <w:b/>
          <w:bCs/>
          <w:color w:val="333333"/>
          <w:sz w:val="22"/>
          <w:szCs w:val="22"/>
          <w:lang w:val="fr-FR"/>
        </w:rPr>
        <w:lastRenderedPageBreak/>
        <w:t xml:space="preserve">Investor Relations </w:t>
      </w:r>
    </w:p>
    <w:p w14:paraId="5F59693A" w14:textId="77777777" w:rsidR="00672A0F" w:rsidRPr="00B21CD8" w:rsidRDefault="00672A0F" w:rsidP="00672A0F">
      <w:pPr>
        <w:shd w:val="clear" w:color="auto" w:fill="FFFFFF"/>
        <w:jc w:val="left"/>
        <w:rPr>
          <w:rFonts w:asciiTheme="minorHAnsi" w:eastAsia="Times New Roman" w:hAnsiTheme="minorHAnsi" w:cstheme="minorHAnsi"/>
          <w:color w:val="333333"/>
          <w:sz w:val="22"/>
          <w:szCs w:val="22"/>
          <w:lang w:val="en-CA"/>
        </w:rPr>
      </w:pPr>
      <w:r w:rsidRPr="00B21CD8">
        <w:rPr>
          <w:rFonts w:asciiTheme="minorHAnsi" w:eastAsia="Times New Roman" w:hAnsiTheme="minorHAnsi" w:cstheme="minorHAnsi"/>
          <w:color w:val="333333"/>
          <w:sz w:val="22"/>
          <w:szCs w:val="22"/>
          <w:lang w:val="en-CA"/>
        </w:rPr>
        <w:t xml:space="preserve">Nikhil Thadani, Sophic Capital </w:t>
      </w:r>
    </w:p>
    <w:p w14:paraId="0426B84E" w14:textId="77777777" w:rsidR="00672A0F" w:rsidRPr="00A875D4" w:rsidRDefault="00672A0F" w:rsidP="00672A0F">
      <w:pPr>
        <w:shd w:val="clear" w:color="auto" w:fill="FFFFFF"/>
        <w:jc w:val="left"/>
        <w:rPr>
          <w:rFonts w:asciiTheme="minorHAnsi" w:eastAsia="Times New Roman" w:hAnsiTheme="minorHAnsi" w:cstheme="minorHAnsi"/>
          <w:color w:val="333333"/>
          <w:sz w:val="22"/>
          <w:szCs w:val="22"/>
        </w:rPr>
      </w:pPr>
      <w:r w:rsidRPr="00A875D4">
        <w:rPr>
          <w:rFonts w:asciiTheme="minorHAnsi" w:eastAsia="Times New Roman" w:hAnsiTheme="minorHAnsi" w:cstheme="minorHAnsi"/>
          <w:color w:val="333333"/>
          <w:sz w:val="22"/>
          <w:szCs w:val="22"/>
        </w:rPr>
        <w:t xml:space="preserve">Email: </w:t>
      </w:r>
      <w:hyperlink r:id="rId10" w:history="1">
        <w:r w:rsidRPr="00A875D4">
          <w:rPr>
            <w:rStyle w:val="Hyperlink"/>
            <w:rFonts w:asciiTheme="minorHAnsi" w:hAnsiTheme="minorHAnsi" w:cstheme="minorHAnsi"/>
            <w:sz w:val="22"/>
            <w:szCs w:val="22"/>
          </w:rPr>
          <w:t>nik@sophiccapital.com</w:t>
        </w:r>
      </w:hyperlink>
    </w:p>
    <w:p w14:paraId="5C7940D5" w14:textId="77777777" w:rsidR="00672A0F" w:rsidRPr="00A875D4" w:rsidRDefault="00672A0F" w:rsidP="00672A0F">
      <w:pPr>
        <w:shd w:val="clear" w:color="auto" w:fill="FFFFFF"/>
        <w:jc w:val="left"/>
        <w:rPr>
          <w:rFonts w:asciiTheme="minorHAnsi" w:eastAsia="Times New Roman" w:hAnsiTheme="minorHAnsi" w:cstheme="minorHAnsi"/>
          <w:color w:val="333333"/>
          <w:sz w:val="22"/>
          <w:szCs w:val="22"/>
        </w:rPr>
      </w:pPr>
      <w:r w:rsidRPr="00A875D4">
        <w:rPr>
          <w:rFonts w:asciiTheme="minorHAnsi" w:eastAsia="Times New Roman" w:hAnsiTheme="minorHAnsi" w:cstheme="minorHAnsi"/>
          <w:color w:val="333333"/>
          <w:sz w:val="22"/>
          <w:szCs w:val="22"/>
        </w:rPr>
        <w:t>Phone: (647) 777 7501</w:t>
      </w:r>
    </w:p>
    <w:p w14:paraId="32B90392" w14:textId="77777777" w:rsidR="00672A0F" w:rsidRPr="00A875D4" w:rsidRDefault="00672A0F" w:rsidP="00672A0F">
      <w:pPr>
        <w:shd w:val="clear" w:color="auto" w:fill="FFFFFF"/>
        <w:jc w:val="left"/>
        <w:rPr>
          <w:rFonts w:asciiTheme="minorHAnsi" w:eastAsia="Times New Roman" w:hAnsiTheme="minorHAnsi" w:cstheme="minorHAnsi"/>
          <w:color w:val="333333"/>
          <w:sz w:val="22"/>
          <w:szCs w:val="22"/>
        </w:rPr>
      </w:pPr>
    </w:p>
    <w:p w14:paraId="7ECAC9DB" w14:textId="77777777" w:rsidR="00672A0F" w:rsidRPr="00295ACB" w:rsidRDefault="00672A0F" w:rsidP="00672A0F">
      <w:pPr>
        <w:shd w:val="clear" w:color="auto" w:fill="FFFFFF"/>
        <w:spacing w:after="150"/>
        <w:jc w:val="center"/>
        <w:rPr>
          <w:rFonts w:asciiTheme="minorHAnsi" w:eastAsia="Times New Roman" w:hAnsiTheme="minorHAnsi" w:cstheme="minorHAnsi"/>
          <w:b/>
          <w:bCs/>
          <w:color w:val="333333"/>
          <w:sz w:val="22"/>
          <w:szCs w:val="22"/>
          <w:lang w:val="en-CA"/>
        </w:rPr>
      </w:pPr>
      <w:r w:rsidRPr="00B21CD8">
        <w:rPr>
          <w:rFonts w:asciiTheme="minorHAnsi" w:eastAsia="Times New Roman" w:hAnsiTheme="minorHAnsi" w:cstheme="minorHAnsi"/>
          <w:b/>
          <w:bCs/>
          <w:color w:val="333333"/>
          <w:sz w:val="22"/>
          <w:szCs w:val="22"/>
          <w:lang w:val="en-CA"/>
        </w:rPr>
        <w:t>Neither TSX Venture Exchange nor its Regulation Services Provider (as that term is defined in the policies of the TSX Venture Exchange) accepts responsibility for the adequacy or accuracy of this release.</w:t>
      </w:r>
    </w:p>
    <w:p w14:paraId="44AEE43F" w14:textId="77777777" w:rsidR="00672A0F" w:rsidRPr="00295ACB" w:rsidRDefault="00672A0F" w:rsidP="00672A0F">
      <w:pPr>
        <w:shd w:val="clear" w:color="auto" w:fill="FFFFFF"/>
        <w:spacing w:after="150"/>
        <w:jc w:val="left"/>
        <w:rPr>
          <w:rFonts w:asciiTheme="minorHAnsi" w:eastAsia="Times New Roman" w:hAnsiTheme="minorHAnsi" w:cstheme="minorHAnsi"/>
          <w:b/>
          <w:bCs/>
          <w:color w:val="333333"/>
          <w:sz w:val="18"/>
          <w:szCs w:val="18"/>
          <w:lang w:val="en-CA"/>
        </w:rPr>
      </w:pPr>
      <w:r w:rsidRPr="00295ACB">
        <w:rPr>
          <w:rFonts w:asciiTheme="minorHAnsi" w:eastAsia="Times New Roman" w:hAnsiTheme="minorHAnsi" w:cstheme="minorHAnsi"/>
          <w:b/>
          <w:bCs/>
          <w:color w:val="333333"/>
          <w:sz w:val="18"/>
          <w:szCs w:val="18"/>
          <w:lang w:val="en-CA"/>
        </w:rPr>
        <w:t xml:space="preserve">Cautionary Note Regarding Forward-Looking </w:t>
      </w:r>
      <w:r>
        <w:rPr>
          <w:rFonts w:asciiTheme="minorHAnsi" w:eastAsia="Times New Roman" w:hAnsiTheme="minorHAnsi" w:cstheme="minorHAnsi"/>
          <w:b/>
          <w:bCs/>
          <w:color w:val="333333"/>
          <w:sz w:val="18"/>
          <w:szCs w:val="18"/>
          <w:lang w:val="en-CA"/>
        </w:rPr>
        <w:t>Statements</w:t>
      </w:r>
      <w:r w:rsidRPr="00295ACB">
        <w:rPr>
          <w:rFonts w:asciiTheme="minorHAnsi" w:eastAsia="Times New Roman" w:hAnsiTheme="minorHAnsi" w:cstheme="minorHAnsi"/>
          <w:b/>
          <w:bCs/>
          <w:color w:val="333333"/>
          <w:sz w:val="18"/>
          <w:szCs w:val="18"/>
          <w:lang w:val="en-CA"/>
        </w:rPr>
        <w:t xml:space="preserve">  </w:t>
      </w:r>
    </w:p>
    <w:p w14:paraId="04773150" w14:textId="1FE9E2F8" w:rsidR="00672A0F" w:rsidRPr="00295ACB" w:rsidRDefault="00672A0F" w:rsidP="00672A0F">
      <w:pPr>
        <w:shd w:val="clear" w:color="auto" w:fill="FFFFFF"/>
        <w:spacing w:after="150"/>
        <w:rPr>
          <w:rFonts w:asciiTheme="minorHAnsi" w:eastAsia="Times New Roman" w:hAnsiTheme="minorHAnsi" w:cstheme="minorHAnsi"/>
          <w:color w:val="333333"/>
          <w:sz w:val="18"/>
          <w:szCs w:val="18"/>
          <w:lang w:val="en-CA"/>
        </w:rPr>
      </w:pPr>
      <w:r w:rsidRPr="00295ACB">
        <w:rPr>
          <w:rFonts w:asciiTheme="minorHAnsi" w:eastAsia="Times New Roman" w:hAnsiTheme="minorHAnsi" w:cstheme="minorHAnsi"/>
          <w:color w:val="333333"/>
          <w:sz w:val="18"/>
          <w:szCs w:val="18"/>
          <w:lang w:val="en-CA"/>
        </w:rPr>
        <w:t xml:space="preserve">Certain information contained </w:t>
      </w:r>
      <w:r>
        <w:rPr>
          <w:rFonts w:asciiTheme="minorHAnsi" w:eastAsia="Times New Roman" w:hAnsiTheme="minorHAnsi" w:cstheme="minorHAnsi"/>
          <w:color w:val="333333"/>
          <w:sz w:val="18"/>
          <w:szCs w:val="18"/>
          <w:lang w:val="en-CA"/>
        </w:rPr>
        <w:t>in this release</w:t>
      </w:r>
      <w:r w:rsidRPr="00295ACB">
        <w:rPr>
          <w:rFonts w:asciiTheme="minorHAnsi" w:eastAsia="Times New Roman" w:hAnsiTheme="minorHAnsi" w:cstheme="minorHAnsi"/>
          <w:color w:val="333333"/>
          <w:sz w:val="18"/>
          <w:szCs w:val="18"/>
          <w:lang w:val="en-CA"/>
        </w:rPr>
        <w:t xml:space="preserve"> constitute forward-looking </w:t>
      </w:r>
      <w:r>
        <w:rPr>
          <w:rFonts w:asciiTheme="minorHAnsi" w:eastAsia="Times New Roman" w:hAnsiTheme="minorHAnsi" w:cstheme="minorHAnsi"/>
          <w:color w:val="333333"/>
          <w:sz w:val="18"/>
          <w:szCs w:val="18"/>
          <w:lang w:val="en-CA"/>
        </w:rPr>
        <w:t>statements or information</w:t>
      </w:r>
      <w:r w:rsidRPr="00295ACB">
        <w:rPr>
          <w:rFonts w:asciiTheme="minorHAnsi" w:eastAsia="Times New Roman" w:hAnsiTheme="minorHAnsi" w:cstheme="minorHAnsi"/>
          <w:color w:val="333333"/>
          <w:sz w:val="18"/>
          <w:szCs w:val="18"/>
          <w:lang w:val="en-CA"/>
        </w:rPr>
        <w:t xml:space="preserve"> under Canadian securities legislation. Generally, forward-looking </w:t>
      </w:r>
      <w:r>
        <w:rPr>
          <w:rFonts w:asciiTheme="minorHAnsi" w:eastAsia="Times New Roman" w:hAnsiTheme="minorHAnsi" w:cstheme="minorHAnsi"/>
          <w:color w:val="333333"/>
          <w:sz w:val="18"/>
          <w:szCs w:val="18"/>
          <w:lang w:val="en-CA"/>
        </w:rPr>
        <w:t>statements</w:t>
      </w:r>
      <w:r w:rsidRPr="00295ACB">
        <w:rPr>
          <w:rFonts w:asciiTheme="minorHAnsi" w:eastAsia="Times New Roman" w:hAnsiTheme="minorHAnsi" w:cstheme="minorHAnsi"/>
          <w:color w:val="333333"/>
          <w:sz w:val="18"/>
          <w:szCs w:val="18"/>
          <w:lang w:val="en-CA"/>
        </w:rPr>
        <w:t xml:space="preserve"> can be identified by the use of forward-looking terminology such as “will”, “expects”, “anticipates” or variations of such words and phrases or statements that certain actions, events or results “will” occur. In particular, ‎forward-looking ‎statements </w:t>
      </w:r>
      <w:r>
        <w:rPr>
          <w:rFonts w:asciiTheme="minorHAnsi" w:eastAsia="Times New Roman" w:hAnsiTheme="minorHAnsi" w:cstheme="minorHAnsi"/>
          <w:color w:val="333333"/>
          <w:sz w:val="18"/>
          <w:szCs w:val="18"/>
          <w:lang w:val="en-CA"/>
        </w:rPr>
        <w:t>in this release</w:t>
      </w:r>
      <w:r w:rsidRPr="00295ACB">
        <w:rPr>
          <w:rFonts w:asciiTheme="minorHAnsi" w:eastAsia="Times New Roman" w:hAnsiTheme="minorHAnsi" w:cstheme="minorHAnsi"/>
          <w:color w:val="333333"/>
          <w:sz w:val="18"/>
          <w:szCs w:val="18"/>
          <w:lang w:val="en-CA"/>
        </w:rPr>
        <w:t xml:space="preserve"> include</w:t>
      </w:r>
      <w:r>
        <w:rPr>
          <w:rFonts w:asciiTheme="minorHAnsi" w:eastAsia="Times New Roman" w:hAnsiTheme="minorHAnsi" w:cstheme="minorHAnsi"/>
          <w:color w:val="333333"/>
          <w:sz w:val="18"/>
          <w:szCs w:val="18"/>
          <w:lang w:val="en-CA"/>
        </w:rPr>
        <w:t xml:space="preserve"> statements regarding</w:t>
      </w:r>
      <w:r w:rsidR="003F1701">
        <w:rPr>
          <w:rFonts w:asciiTheme="minorHAnsi" w:eastAsia="Times New Roman" w:hAnsiTheme="minorHAnsi" w:cstheme="minorHAnsi"/>
          <w:color w:val="333333"/>
          <w:sz w:val="18"/>
          <w:szCs w:val="18"/>
          <w:lang w:val="en-CA"/>
        </w:rPr>
        <w:t xml:space="preserve"> </w:t>
      </w:r>
      <w:r w:rsidRPr="00295ACB">
        <w:rPr>
          <w:rFonts w:asciiTheme="minorHAnsi" w:eastAsia="Times New Roman" w:hAnsiTheme="minorHAnsi" w:cstheme="minorHAnsi"/>
          <w:color w:val="333333"/>
          <w:sz w:val="18"/>
          <w:szCs w:val="18"/>
          <w:lang w:val="en-CA"/>
        </w:rPr>
        <w:t>the</w:t>
      </w:r>
      <w:r>
        <w:rPr>
          <w:rFonts w:asciiTheme="minorHAnsi" w:eastAsia="Times New Roman" w:hAnsiTheme="minorHAnsi" w:cstheme="minorHAnsi"/>
          <w:color w:val="333333"/>
          <w:sz w:val="18"/>
          <w:szCs w:val="18"/>
          <w:lang w:val="en-CA"/>
        </w:rPr>
        <w:t xml:space="preserve"> anticipated</w:t>
      </w:r>
      <w:r w:rsidRPr="00295ACB">
        <w:rPr>
          <w:rFonts w:asciiTheme="minorHAnsi" w:eastAsia="Times New Roman" w:hAnsiTheme="minorHAnsi" w:cstheme="minorHAnsi"/>
          <w:color w:val="333333"/>
          <w:sz w:val="18"/>
          <w:szCs w:val="18"/>
          <w:lang w:val="en-CA"/>
        </w:rPr>
        <w:t xml:space="preserve"> timing for the filing of the Annual Filings. Forward-</w:t>
      </w:r>
      <w:r>
        <w:rPr>
          <w:rFonts w:asciiTheme="minorHAnsi" w:eastAsia="Times New Roman" w:hAnsiTheme="minorHAnsi" w:cstheme="minorHAnsi"/>
          <w:color w:val="333333"/>
          <w:sz w:val="18"/>
          <w:szCs w:val="18"/>
          <w:lang w:val="en-CA"/>
        </w:rPr>
        <w:t>l</w:t>
      </w:r>
      <w:r w:rsidRPr="00295ACB">
        <w:rPr>
          <w:rFonts w:asciiTheme="minorHAnsi" w:eastAsia="Times New Roman" w:hAnsiTheme="minorHAnsi" w:cstheme="minorHAnsi"/>
          <w:color w:val="333333"/>
          <w:sz w:val="18"/>
          <w:szCs w:val="18"/>
          <w:lang w:val="en-CA"/>
        </w:rPr>
        <w:t xml:space="preserve">ooking </w:t>
      </w:r>
      <w:r>
        <w:rPr>
          <w:rFonts w:asciiTheme="minorHAnsi" w:eastAsia="Times New Roman" w:hAnsiTheme="minorHAnsi" w:cstheme="minorHAnsi"/>
          <w:color w:val="333333"/>
          <w:sz w:val="18"/>
          <w:szCs w:val="18"/>
          <w:lang w:val="en-CA"/>
        </w:rPr>
        <w:t>statements are</w:t>
      </w:r>
      <w:r w:rsidRPr="00295ACB">
        <w:rPr>
          <w:rFonts w:asciiTheme="minorHAnsi" w:eastAsia="Times New Roman" w:hAnsiTheme="minorHAnsi" w:cstheme="minorHAnsi"/>
          <w:color w:val="333333"/>
          <w:sz w:val="18"/>
          <w:szCs w:val="18"/>
          <w:lang w:val="en-CA"/>
        </w:rPr>
        <w:t xml:space="preserve"> based on the opinions and estimates of management as of the date such </w:t>
      </w:r>
      <w:r>
        <w:rPr>
          <w:rFonts w:asciiTheme="minorHAnsi" w:eastAsia="Times New Roman" w:hAnsiTheme="minorHAnsi" w:cstheme="minorHAnsi"/>
          <w:color w:val="333333"/>
          <w:sz w:val="18"/>
          <w:szCs w:val="18"/>
          <w:lang w:val="en-CA"/>
        </w:rPr>
        <w:t>statements</w:t>
      </w:r>
      <w:r w:rsidRPr="00295ACB">
        <w:rPr>
          <w:rFonts w:asciiTheme="minorHAnsi" w:eastAsia="Times New Roman" w:hAnsiTheme="minorHAnsi" w:cstheme="minorHAnsi"/>
          <w:color w:val="333333"/>
          <w:sz w:val="18"/>
          <w:szCs w:val="18"/>
          <w:lang w:val="en-CA"/>
        </w:rPr>
        <w:t xml:space="preserve"> are made and are subject to known and unknown risks, uncertainties and other factors that may cause actual results to be materially different from those expressed or implied by such forward-looking statements</w:t>
      </w:r>
      <w:r>
        <w:rPr>
          <w:rFonts w:asciiTheme="minorHAnsi" w:eastAsia="Times New Roman" w:hAnsiTheme="minorHAnsi" w:cstheme="minorHAnsi"/>
          <w:color w:val="333333"/>
          <w:sz w:val="18"/>
          <w:szCs w:val="18"/>
          <w:lang w:val="en-CA"/>
        </w:rPr>
        <w:t>, including that the Annual Filings may not be completed in the time anticipated.</w:t>
      </w:r>
      <w:r w:rsidRPr="00295ACB">
        <w:rPr>
          <w:rFonts w:asciiTheme="minorHAnsi" w:eastAsia="Times New Roman" w:hAnsiTheme="minorHAnsi" w:cstheme="minorHAnsi"/>
          <w:color w:val="333333"/>
          <w:sz w:val="18"/>
          <w:szCs w:val="18"/>
          <w:lang w:val="en-CA"/>
        </w:rPr>
        <w:t xml:space="preserve"> Although management of the Company has attempted to identify important factors that could cause actual results to differ materially from those contained in </w:t>
      </w:r>
      <w:r>
        <w:rPr>
          <w:rFonts w:asciiTheme="minorHAnsi" w:eastAsia="Times New Roman" w:hAnsiTheme="minorHAnsi" w:cstheme="minorHAnsi"/>
          <w:color w:val="333333"/>
          <w:sz w:val="18"/>
          <w:szCs w:val="18"/>
          <w:lang w:val="en-CA"/>
        </w:rPr>
        <w:t xml:space="preserve">the </w:t>
      </w:r>
      <w:r w:rsidRPr="00295ACB">
        <w:rPr>
          <w:rFonts w:asciiTheme="minorHAnsi" w:eastAsia="Times New Roman" w:hAnsiTheme="minorHAnsi" w:cstheme="minorHAnsi"/>
          <w:color w:val="333333"/>
          <w:sz w:val="18"/>
          <w:szCs w:val="18"/>
          <w:lang w:val="en-CA"/>
        </w:rPr>
        <w:t xml:space="preserve">forward-looking statements, there may be other factors that cause results not to be as anticipated, estimated or intended. There can be no assurance that such statements will prove to be accurate, as actual results and future events could differ materially from those anticipated in such statements. The Company cautions readers of this news release not to place undue reliance on the forward-looking statements contained </w:t>
      </w:r>
      <w:r>
        <w:rPr>
          <w:rFonts w:asciiTheme="minorHAnsi" w:eastAsia="Times New Roman" w:hAnsiTheme="minorHAnsi" w:cstheme="minorHAnsi"/>
          <w:color w:val="333333"/>
          <w:sz w:val="18"/>
          <w:szCs w:val="18"/>
          <w:lang w:val="en-CA"/>
        </w:rPr>
        <w:t>in this release</w:t>
      </w:r>
      <w:r w:rsidRPr="00295ACB">
        <w:rPr>
          <w:rFonts w:asciiTheme="minorHAnsi" w:eastAsia="Times New Roman" w:hAnsiTheme="minorHAnsi" w:cstheme="minorHAnsi"/>
          <w:color w:val="333333"/>
          <w:sz w:val="18"/>
          <w:szCs w:val="18"/>
          <w:lang w:val="en-CA"/>
        </w:rPr>
        <w:t xml:space="preserve"> as many factors could cause actual results or conditions to differ materially from current expectations. Additional information on these and other risk factors that could affect the Company’s operations are outlined in the Company’s continuous disclosure documents that can be found on SEDAR+ (www.sedarplus.ca) under Xcyte’s issuer profile. Xcyte does not intend and disclaims any obligation, except as required by law, to update or revise any forward-looking statements, whether because of new information, future events, or otherwise.  </w:t>
      </w:r>
    </w:p>
    <w:p w14:paraId="35519E92" w14:textId="77777777" w:rsidR="00F654DA" w:rsidRDefault="00F654DA">
      <w:pPr>
        <w:pStyle w:val="BodyText"/>
      </w:pPr>
    </w:p>
    <w:sectPr w:rsidR="00F654DA">
      <w:pgSz w:w="12240" w:h="15840" w:code="1"/>
      <w:pgMar w:top="1440" w:right="1440" w:bottom="1440" w:left="1440" w:header="720"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30826" w14:textId="77777777" w:rsidR="00A64CA7" w:rsidRDefault="00A64CA7">
      <w:r>
        <w:separator/>
      </w:r>
    </w:p>
  </w:endnote>
  <w:endnote w:type="continuationSeparator" w:id="0">
    <w:p w14:paraId="10B840EA" w14:textId="77777777" w:rsidR="00A64CA7" w:rsidRDefault="00A64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Light">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2C4AE" w14:textId="77777777" w:rsidR="00A64CA7" w:rsidRDefault="00A64CA7">
      <w:r>
        <w:separator/>
      </w:r>
    </w:p>
  </w:footnote>
  <w:footnote w:type="continuationSeparator" w:id="0">
    <w:p w14:paraId="3AB79F54" w14:textId="77777777" w:rsidR="00A64CA7" w:rsidRDefault="00A64C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32257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0023D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622282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00F8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FCC43F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5FA82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FA44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CC471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5C67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4C1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7B552A"/>
    <w:multiLevelType w:val="multilevel"/>
    <w:tmpl w:val="F52A175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1" w15:restartNumberingAfterBreak="0">
    <w:nsid w:val="1BB63DA8"/>
    <w:multiLevelType w:val="multilevel"/>
    <w:tmpl w:val="FADA2E5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2" w15:restartNumberingAfterBreak="0">
    <w:nsid w:val="32954C6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5100C1"/>
    <w:multiLevelType w:val="multilevel"/>
    <w:tmpl w:val="CFFA2972"/>
    <w:styleLink w:val="ArticleSection"/>
    <w:lvl w:ilvl="0">
      <w:start w:val="1"/>
      <w:numFmt w:val="upperRoman"/>
      <w:lvlText w:val="Article %1."/>
      <w:lvlJc w:val="left"/>
      <w:pPr>
        <w:tabs>
          <w:tab w:val="num" w:pos="720"/>
        </w:tabs>
        <w:ind w:left="720" w:hanging="720"/>
      </w:pPr>
      <w:rPr>
        <w:rFonts w:hint="default"/>
      </w:rPr>
    </w:lvl>
    <w:lvl w:ilvl="1">
      <w:start w:val="1"/>
      <w:numFmt w:val="decimalZero"/>
      <w:isLgl/>
      <w:lvlText w:val="Section %1.%2"/>
      <w:lvlJc w:val="left"/>
      <w:pPr>
        <w:tabs>
          <w:tab w:val="num" w:pos="1440"/>
        </w:tabs>
        <w:ind w:left="1440" w:hanging="720"/>
      </w:pPr>
      <w:rPr>
        <w:rFonts w:hint="default"/>
      </w:rPr>
    </w:lvl>
    <w:lvl w:ilvl="2">
      <w:start w:val="1"/>
      <w:numFmt w:val="lowerLetter"/>
      <w:lvlText w:val="(%3)"/>
      <w:lvlJc w:val="left"/>
      <w:pPr>
        <w:tabs>
          <w:tab w:val="num" w:pos="2160"/>
        </w:tabs>
        <w:ind w:left="2160" w:hanging="720"/>
      </w:pPr>
      <w:rPr>
        <w:rFonts w:hint="default"/>
      </w:rPr>
    </w:lvl>
    <w:lvl w:ilvl="3">
      <w:start w:val="1"/>
      <w:numFmt w:val="lowerRoman"/>
      <w:lvlText w:val="(%4)"/>
      <w:lvlJc w:val="righ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lowerRoman"/>
      <w:lvlText w:val="%7)"/>
      <w:lvlJc w:val="righ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14" w15:restartNumberingAfterBreak="0">
    <w:nsid w:val="3C123121"/>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EA34ED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7120A"/>
    <w:multiLevelType w:val="multilevel"/>
    <w:tmpl w:val="878CA6AA"/>
    <w:name w:val="zzmpStandard||Standard|2|1|1|1|10|41||1|12|32||1|12|32||1|12|32||1|12|32||1|12|32||1|12|32||1|12|32||1|12|32||"/>
    <w:lvl w:ilvl="0">
      <w:start w:val="1"/>
      <w:numFmt w:val="upperRoman"/>
      <w:pStyle w:val="StandardL1"/>
      <w:lvlText w:val="%1."/>
      <w:lvlJc w:val="left"/>
      <w:pPr>
        <w:tabs>
          <w:tab w:val="num" w:pos="720"/>
        </w:tabs>
        <w:ind w:left="720" w:hanging="720"/>
      </w:pPr>
      <w:rPr>
        <w:rFonts w:hint="default"/>
        <w:b/>
        <w:i w:val="0"/>
        <w:caps w:val="0"/>
        <w:u w:val="none"/>
      </w:rPr>
    </w:lvl>
    <w:lvl w:ilvl="1">
      <w:start w:val="1"/>
      <w:numFmt w:val="decimal"/>
      <w:lvlRestart w:val="0"/>
      <w:pStyle w:val="StandardL2"/>
      <w:lvlText w:val="%2."/>
      <w:lvlJc w:val="left"/>
      <w:pPr>
        <w:tabs>
          <w:tab w:val="num" w:pos="720"/>
        </w:tabs>
        <w:ind w:left="720" w:hanging="720"/>
      </w:pPr>
      <w:rPr>
        <w:b w:val="0"/>
        <w:u w:val="none"/>
      </w:rPr>
    </w:lvl>
    <w:lvl w:ilvl="2">
      <w:start w:val="1"/>
      <w:numFmt w:val="lowerLetter"/>
      <w:pStyle w:val="StandardL3"/>
      <w:lvlText w:val="(%3)"/>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tandardL4"/>
      <w:lvlText w:val="(%4)"/>
      <w:lvlJc w:val="left"/>
      <w:pPr>
        <w:tabs>
          <w:tab w:val="num" w:pos="2160"/>
        </w:tabs>
        <w:ind w:left="2160" w:hanging="720"/>
      </w:pPr>
      <w:rPr>
        <w:u w:val="none"/>
      </w:rPr>
    </w:lvl>
    <w:lvl w:ilvl="4" w:tentative="1">
      <w:start w:val="1"/>
      <w:numFmt w:val="lowerLetter"/>
      <w:pStyle w:val="StandardL5"/>
      <w:lvlText w:val="%5."/>
      <w:lvlJc w:val="left"/>
      <w:pPr>
        <w:tabs>
          <w:tab w:val="num" w:pos="3960"/>
        </w:tabs>
        <w:ind w:left="3600" w:hanging="720"/>
      </w:pPr>
    </w:lvl>
    <w:lvl w:ilvl="5" w:tentative="1">
      <w:start w:val="1"/>
      <w:numFmt w:val="lowerRoman"/>
      <w:pStyle w:val="StandardL6"/>
      <w:lvlText w:val="%6."/>
      <w:lvlJc w:val="right"/>
      <w:pPr>
        <w:tabs>
          <w:tab w:val="num" w:pos="4680"/>
        </w:tabs>
        <w:ind w:left="4320" w:hanging="720"/>
      </w:pPr>
    </w:lvl>
    <w:lvl w:ilvl="6" w:tentative="1">
      <w:start w:val="1"/>
      <w:numFmt w:val="decimal"/>
      <w:pStyle w:val="StandardL7"/>
      <w:lvlText w:val="%7."/>
      <w:lvlJc w:val="left"/>
      <w:pPr>
        <w:tabs>
          <w:tab w:val="num" w:pos="5400"/>
        </w:tabs>
        <w:ind w:left="5040" w:hanging="720"/>
      </w:pPr>
    </w:lvl>
    <w:lvl w:ilvl="7" w:tentative="1">
      <w:start w:val="1"/>
      <w:numFmt w:val="lowerLetter"/>
      <w:pStyle w:val="StandardL8"/>
      <w:lvlText w:val="%8."/>
      <w:lvlJc w:val="left"/>
      <w:pPr>
        <w:tabs>
          <w:tab w:val="num" w:pos="6120"/>
        </w:tabs>
        <w:ind w:left="5760" w:hanging="720"/>
      </w:pPr>
    </w:lvl>
    <w:lvl w:ilvl="8" w:tentative="1">
      <w:start w:val="1"/>
      <w:numFmt w:val="lowerRoman"/>
      <w:pStyle w:val="StandardL9"/>
      <w:lvlText w:val="%9."/>
      <w:lvlJc w:val="right"/>
      <w:pPr>
        <w:tabs>
          <w:tab w:val="num" w:pos="6840"/>
        </w:tabs>
        <w:ind w:left="6480" w:hanging="720"/>
      </w:pPr>
    </w:lvl>
  </w:abstractNum>
  <w:abstractNum w:abstractNumId="17" w15:restartNumberingAfterBreak="0">
    <w:nsid w:val="742D3AA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F471ED1"/>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82162639">
    <w:abstractNumId w:val="12"/>
  </w:num>
  <w:num w:numId="2" w16cid:durableId="274796403">
    <w:abstractNumId w:val="17"/>
  </w:num>
  <w:num w:numId="3" w16cid:durableId="1814592138">
    <w:abstractNumId w:val="15"/>
  </w:num>
  <w:num w:numId="4" w16cid:durableId="447429214">
    <w:abstractNumId w:val="13"/>
  </w:num>
  <w:num w:numId="5" w16cid:durableId="1002588771">
    <w:abstractNumId w:val="14"/>
  </w:num>
  <w:num w:numId="6" w16cid:durableId="762334071">
    <w:abstractNumId w:val="11"/>
  </w:num>
  <w:num w:numId="7" w16cid:durableId="790442989">
    <w:abstractNumId w:val="18"/>
  </w:num>
  <w:num w:numId="8" w16cid:durableId="515389649">
    <w:abstractNumId w:val="10"/>
  </w:num>
  <w:num w:numId="9" w16cid:durableId="1762069048">
    <w:abstractNumId w:val="9"/>
  </w:num>
  <w:num w:numId="10" w16cid:durableId="1412237128">
    <w:abstractNumId w:val="7"/>
  </w:num>
  <w:num w:numId="11" w16cid:durableId="320427688">
    <w:abstractNumId w:val="6"/>
  </w:num>
  <w:num w:numId="12" w16cid:durableId="1371615977">
    <w:abstractNumId w:val="5"/>
  </w:num>
  <w:num w:numId="13" w16cid:durableId="831674711">
    <w:abstractNumId w:val="4"/>
  </w:num>
  <w:num w:numId="14" w16cid:durableId="1119645075">
    <w:abstractNumId w:val="8"/>
  </w:num>
  <w:num w:numId="15" w16cid:durableId="1721900308">
    <w:abstractNumId w:val="3"/>
  </w:num>
  <w:num w:numId="16" w16cid:durableId="613365124">
    <w:abstractNumId w:val="2"/>
  </w:num>
  <w:num w:numId="17" w16cid:durableId="1790856599">
    <w:abstractNumId w:val="1"/>
  </w:num>
  <w:num w:numId="18" w16cid:durableId="1031951875">
    <w:abstractNumId w:val="0"/>
  </w:num>
  <w:num w:numId="19" w16cid:durableId="18781995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A0F"/>
    <w:rsid w:val="00013498"/>
    <w:rsid w:val="000134DD"/>
    <w:rsid w:val="0003365E"/>
    <w:rsid w:val="00033A6E"/>
    <w:rsid w:val="000421FB"/>
    <w:rsid w:val="00043206"/>
    <w:rsid w:val="000829AE"/>
    <w:rsid w:val="000A3883"/>
    <w:rsid w:val="000C349B"/>
    <w:rsid w:val="000E114C"/>
    <w:rsid w:val="000E634F"/>
    <w:rsid w:val="000F4556"/>
    <w:rsid w:val="000F5DE2"/>
    <w:rsid w:val="000F7816"/>
    <w:rsid w:val="00111AC3"/>
    <w:rsid w:val="0011690E"/>
    <w:rsid w:val="00184067"/>
    <w:rsid w:val="00185F53"/>
    <w:rsid w:val="00186459"/>
    <w:rsid w:val="001A5704"/>
    <w:rsid w:val="001C7646"/>
    <w:rsid w:val="001F6EDC"/>
    <w:rsid w:val="002057EB"/>
    <w:rsid w:val="0025361C"/>
    <w:rsid w:val="002559A9"/>
    <w:rsid w:val="00263C24"/>
    <w:rsid w:val="00272488"/>
    <w:rsid w:val="002854A2"/>
    <w:rsid w:val="00294E28"/>
    <w:rsid w:val="002C7620"/>
    <w:rsid w:val="002E0497"/>
    <w:rsid w:val="002F06FA"/>
    <w:rsid w:val="002F6652"/>
    <w:rsid w:val="0030221F"/>
    <w:rsid w:val="003108DA"/>
    <w:rsid w:val="00315F57"/>
    <w:rsid w:val="003222E8"/>
    <w:rsid w:val="00333128"/>
    <w:rsid w:val="003A45FF"/>
    <w:rsid w:val="003E2D74"/>
    <w:rsid w:val="003F1701"/>
    <w:rsid w:val="0040568B"/>
    <w:rsid w:val="004363D0"/>
    <w:rsid w:val="00450DB0"/>
    <w:rsid w:val="004602F3"/>
    <w:rsid w:val="00461FD9"/>
    <w:rsid w:val="00474F7A"/>
    <w:rsid w:val="00484A72"/>
    <w:rsid w:val="00503F5C"/>
    <w:rsid w:val="00504EE3"/>
    <w:rsid w:val="00537BA8"/>
    <w:rsid w:val="00540C90"/>
    <w:rsid w:val="0054539A"/>
    <w:rsid w:val="00550193"/>
    <w:rsid w:val="005A6DA1"/>
    <w:rsid w:val="005B42B2"/>
    <w:rsid w:val="005B47EE"/>
    <w:rsid w:val="005D5B54"/>
    <w:rsid w:val="00622677"/>
    <w:rsid w:val="00626479"/>
    <w:rsid w:val="00626E0A"/>
    <w:rsid w:val="00631945"/>
    <w:rsid w:val="00672A0F"/>
    <w:rsid w:val="0067767F"/>
    <w:rsid w:val="00691B34"/>
    <w:rsid w:val="006B1C34"/>
    <w:rsid w:val="0072118A"/>
    <w:rsid w:val="00721E96"/>
    <w:rsid w:val="00735150"/>
    <w:rsid w:val="0074514C"/>
    <w:rsid w:val="0075327E"/>
    <w:rsid w:val="007703F7"/>
    <w:rsid w:val="0077096A"/>
    <w:rsid w:val="00776E1F"/>
    <w:rsid w:val="00777F8B"/>
    <w:rsid w:val="00794954"/>
    <w:rsid w:val="0079566A"/>
    <w:rsid w:val="007A1C69"/>
    <w:rsid w:val="007A3F46"/>
    <w:rsid w:val="007C2678"/>
    <w:rsid w:val="007E4914"/>
    <w:rsid w:val="007E7709"/>
    <w:rsid w:val="007F71C8"/>
    <w:rsid w:val="00800D9F"/>
    <w:rsid w:val="00804789"/>
    <w:rsid w:val="00807F92"/>
    <w:rsid w:val="0081360B"/>
    <w:rsid w:val="0083599D"/>
    <w:rsid w:val="00886F0A"/>
    <w:rsid w:val="008913BF"/>
    <w:rsid w:val="00894BBD"/>
    <w:rsid w:val="008A0013"/>
    <w:rsid w:val="008A763E"/>
    <w:rsid w:val="008B5047"/>
    <w:rsid w:val="008B6804"/>
    <w:rsid w:val="009018DD"/>
    <w:rsid w:val="009022E5"/>
    <w:rsid w:val="0091342C"/>
    <w:rsid w:val="00947623"/>
    <w:rsid w:val="00991AE0"/>
    <w:rsid w:val="00995177"/>
    <w:rsid w:val="009A265B"/>
    <w:rsid w:val="009C6F2F"/>
    <w:rsid w:val="00A22F6F"/>
    <w:rsid w:val="00A366CA"/>
    <w:rsid w:val="00A55AE8"/>
    <w:rsid w:val="00A56D21"/>
    <w:rsid w:val="00A64CA7"/>
    <w:rsid w:val="00A65954"/>
    <w:rsid w:val="00A875D4"/>
    <w:rsid w:val="00AA7D89"/>
    <w:rsid w:val="00AB2CBC"/>
    <w:rsid w:val="00AD0CBE"/>
    <w:rsid w:val="00AD5865"/>
    <w:rsid w:val="00AD6B27"/>
    <w:rsid w:val="00AE41E6"/>
    <w:rsid w:val="00AF60FB"/>
    <w:rsid w:val="00B1417B"/>
    <w:rsid w:val="00B25B6D"/>
    <w:rsid w:val="00B370F2"/>
    <w:rsid w:val="00B40B36"/>
    <w:rsid w:val="00B730AE"/>
    <w:rsid w:val="00B97416"/>
    <w:rsid w:val="00BA28E2"/>
    <w:rsid w:val="00BB0A23"/>
    <w:rsid w:val="00BC1F5A"/>
    <w:rsid w:val="00BE4AD7"/>
    <w:rsid w:val="00BF65FD"/>
    <w:rsid w:val="00C23DDC"/>
    <w:rsid w:val="00C44303"/>
    <w:rsid w:val="00C8644A"/>
    <w:rsid w:val="00C9041C"/>
    <w:rsid w:val="00C92BB0"/>
    <w:rsid w:val="00C94279"/>
    <w:rsid w:val="00CA7495"/>
    <w:rsid w:val="00CB782F"/>
    <w:rsid w:val="00CF26F6"/>
    <w:rsid w:val="00CF5033"/>
    <w:rsid w:val="00D21978"/>
    <w:rsid w:val="00D43E44"/>
    <w:rsid w:val="00D51522"/>
    <w:rsid w:val="00DC72B2"/>
    <w:rsid w:val="00DD12D6"/>
    <w:rsid w:val="00DD5C49"/>
    <w:rsid w:val="00DF5616"/>
    <w:rsid w:val="00E049C9"/>
    <w:rsid w:val="00E470FE"/>
    <w:rsid w:val="00E47778"/>
    <w:rsid w:val="00E53905"/>
    <w:rsid w:val="00E55518"/>
    <w:rsid w:val="00E5629C"/>
    <w:rsid w:val="00E60D3E"/>
    <w:rsid w:val="00E63470"/>
    <w:rsid w:val="00EB4764"/>
    <w:rsid w:val="00EE1EEF"/>
    <w:rsid w:val="00EF159C"/>
    <w:rsid w:val="00EF51D8"/>
    <w:rsid w:val="00F06F9F"/>
    <w:rsid w:val="00F170A3"/>
    <w:rsid w:val="00F20B0C"/>
    <w:rsid w:val="00F53A92"/>
    <w:rsid w:val="00F61BF3"/>
    <w:rsid w:val="00F654DA"/>
    <w:rsid w:val="00F65AA9"/>
    <w:rsid w:val="00F660C9"/>
    <w:rsid w:val="00F67DC5"/>
    <w:rsid w:val="00F7054A"/>
    <w:rsid w:val="00F75053"/>
    <w:rsid w:val="00F764B1"/>
    <w:rsid w:val="00FA475E"/>
    <w:rsid w:val="00FC05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23AF1"/>
  <w15:chartTrackingRefBased/>
  <w15:docId w15:val="{36A8853C-5591-48F8-A120-C289863AE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qFormat="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4"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spacing w:after="0"/>
      <w:jc w:val="both"/>
    </w:pPr>
  </w:style>
  <w:style w:type="paragraph" w:styleId="Heading1">
    <w:name w:val="heading 1"/>
    <w:basedOn w:val="Normal"/>
    <w:next w:val="BodyText"/>
    <w:link w:val="Heading1Char"/>
    <w:uiPriority w:val="9"/>
    <w:qFormat/>
    <w:pPr>
      <w:keepNext/>
      <w:spacing w:after="240"/>
      <w:outlineLvl w:val="0"/>
    </w:pPr>
    <w:rPr>
      <w:rFonts w:eastAsiaTheme="majorEastAsia" w:cstheme="majorBidi"/>
      <w:b/>
      <w:bCs/>
      <w:caps/>
      <w:szCs w:val="28"/>
    </w:rPr>
  </w:style>
  <w:style w:type="paragraph" w:styleId="Heading2">
    <w:name w:val="heading 2"/>
    <w:basedOn w:val="Normal"/>
    <w:next w:val="BodyText"/>
    <w:link w:val="Heading2Char"/>
    <w:uiPriority w:val="9"/>
    <w:semiHidden/>
    <w:unhideWhenUsed/>
    <w:qFormat/>
    <w:pPr>
      <w:keepNext/>
      <w:spacing w:after="240"/>
      <w:outlineLvl w:val="1"/>
    </w:pPr>
    <w:rPr>
      <w:rFonts w:eastAsiaTheme="majorEastAsia" w:cstheme="majorBidi"/>
      <w:b/>
      <w:bCs/>
      <w:szCs w:val="26"/>
    </w:rPr>
  </w:style>
  <w:style w:type="paragraph" w:styleId="Heading3">
    <w:name w:val="heading 3"/>
    <w:basedOn w:val="Normal"/>
    <w:next w:val="BodyText"/>
    <w:link w:val="Heading3Char"/>
    <w:uiPriority w:val="9"/>
    <w:semiHidden/>
    <w:unhideWhenUsed/>
    <w:qFormat/>
    <w:pPr>
      <w:keepNext/>
      <w:spacing w:after="240"/>
      <w:outlineLvl w:val="2"/>
    </w:pPr>
    <w:rPr>
      <w:rFonts w:eastAsiaTheme="majorEastAsia" w:cstheme="majorBidi"/>
      <w:b/>
      <w:bCs/>
      <w:i/>
    </w:rPr>
  </w:style>
  <w:style w:type="paragraph" w:styleId="Heading4">
    <w:name w:val="heading 4"/>
    <w:basedOn w:val="Normal"/>
    <w:next w:val="BodyText"/>
    <w:link w:val="Heading4Char"/>
    <w:uiPriority w:val="9"/>
    <w:semiHidden/>
    <w:unhideWhenUsed/>
    <w:qFormat/>
    <w:pPr>
      <w:keepNext/>
      <w:spacing w:after="240"/>
      <w:ind w:left="720"/>
      <w:outlineLvl w:val="3"/>
    </w:pPr>
    <w:rPr>
      <w:rFonts w:eastAsiaTheme="majorEastAsia" w:cstheme="majorBidi"/>
      <w:bCs/>
      <w:i/>
      <w:iCs/>
    </w:rPr>
  </w:style>
  <w:style w:type="paragraph" w:styleId="Heading5">
    <w:name w:val="heading 5"/>
    <w:basedOn w:val="Normal"/>
    <w:next w:val="BodyText"/>
    <w:link w:val="Heading5Char"/>
    <w:uiPriority w:val="9"/>
    <w:semiHidden/>
    <w:unhideWhenUsed/>
    <w:qFormat/>
    <w:pPr>
      <w:keepNext/>
      <w:spacing w:after="240"/>
      <w:ind w:left="720"/>
      <w:outlineLvl w:val="4"/>
    </w:pPr>
    <w:rPr>
      <w:rFonts w:eastAsiaTheme="majorEastAsia" w:cstheme="majorBidi"/>
      <w:u w:val="single"/>
    </w:rPr>
  </w:style>
  <w:style w:type="paragraph" w:styleId="Heading6">
    <w:name w:val="heading 6"/>
    <w:basedOn w:val="Normal"/>
    <w:next w:val="BodyText"/>
    <w:link w:val="Heading6Char"/>
    <w:uiPriority w:val="9"/>
    <w:semiHidden/>
    <w:unhideWhenUsed/>
    <w:qFormat/>
    <w:pPr>
      <w:keepNext/>
      <w:spacing w:after="240"/>
      <w:outlineLvl w:val="5"/>
    </w:pPr>
    <w:rPr>
      <w:rFonts w:eastAsiaTheme="majorEastAsia" w:cstheme="majorBidi"/>
      <w:b/>
      <w:i/>
      <w:iCs/>
    </w:rPr>
  </w:style>
  <w:style w:type="paragraph" w:styleId="Heading7">
    <w:name w:val="heading 7"/>
    <w:basedOn w:val="Normal"/>
    <w:next w:val="BodyText"/>
    <w:link w:val="Heading7Char"/>
    <w:uiPriority w:val="9"/>
    <w:semiHidden/>
    <w:unhideWhenUsed/>
    <w:qFormat/>
    <w:pPr>
      <w:keepNext/>
      <w:spacing w:after="240"/>
      <w:outlineLvl w:val="6"/>
    </w:pPr>
    <w:rPr>
      <w:rFonts w:eastAsiaTheme="majorEastAsia" w:cstheme="majorBidi"/>
      <w:iCs/>
      <w:u w:val="single"/>
    </w:rPr>
  </w:style>
  <w:style w:type="paragraph" w:styleId="Heading8">
    <w:name w:val="heading 8"/>
    <w:basedOn w:val="Normal"/>
    <w:next w:val="BodyText"/>
    <w:link w:val="Heading8Char"/>
    <w:uiPriority w:val="9"/>
    <w:semiHidden/>
    <w:unhideWhenUsed/>
    <w:qFormat/>
    <w:pPr>
      <w:keepNext/>
      <w:spacing w:after="240"/>
      <w:outlineLvl w:val="7"/>
    </w:pPr>
    <w:rPr>
      <w:rFonts w:eastAsiaTheme="majorEastAsia" w:cstheme="majorBidi"/>
      <w:i/>
      <w:szCs w:val="20"/>
    </w:rPr>
  </w:style>
  <w:style w:type="paragraph" w:styleId="Heading9">
    <w:name w:val="heading 9"/>
    <w:basedOn w:val="Normal"/>
    <w:next w:val="BodyText"/>
    <w:link w:val="Heading9Char"/>
    <w:uiPriority w:val="9"/>
    <w:semiHidden/>
    <w:unhideWhenUsed/>
    <w:qFormat/>
    <w:pPr>
      <w:keepNext/>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40"/>
    </w:pPr>
    <w:rPr>
      <w:rFonts w:eastAsia="Times New Roman" w:cs="Times New Roman"/>
    </w:r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Pr>
      <w:rFonts w:ascii="Times New Roman" w:eastAsiaTheme="majorEastAsia" w:hAnsi="Times New Roman" w:cstheme="majorBidi"/>
      <w:b/>
      <w:bCs/>
      <w: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heme="majorBidi"/>
      <w:b/>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heme="majorBidi"/>
      <w:bCs/>
      <w:i/>
      <w:iCs/>
      <w:sz w:val="24"/>
    </w:rPr>
  </w:style>
  <w:style w:type="character" w:customStyle="1" w:styleId="Heading5Char">
    <w:name w:val="Heading 5 Char"/>
    <w:basedOn w:val="DefaultParagraphFont"/>
    <w:link w:val="Heading5"/>
    <w:uiPriority w:val="9"/>
    <w:semiHidden/>
    <w:rPr>
      <w:rFonts w:ascii="Times New Roman" w:eastAsiaTheme="majorEastAsia" w:hAnsi="Times New Roman" w:cstheme="majorBidi"/>
      <w:sz w:val="24"/>
      <w:u w:val="single"/>
    </w:rPr>
  </w:style>
  <w:style w:type="character" w:customStyle="1" w:styleId="Heading6Char">
    <w:name w:val="Heading 6 Char"/>
    <w:basedOn w:val="DefaultParagraphFont"/>
    <w:link w:val="Heading6"/>
    <w:uiPriority w:val="9"/>
    <w:semiHidden/>
    <w:rPr>
      <w:rFonts w:ascii="Times New Roman" w:eastAsiaTheme="majorEastAsia" w:hAnsi="Times New Roman" w:cstheme="majorBidi"/>
      <w:b/>
      <w:i/>
      <w:iCs/>
      <w:sz w:val="24"/>
    </w:rPr>
  </w:style>
  <w:style w:type="character" w:customStyle="1" w:styleId="Heading7Char">
    <w:name w:val="Heading 7 Char"/>
    <w:basedOn w:val="DefaultParagraphFont"/>
    <w:link w:val="Heading7"/>
    <w:uiPriority w:val="9"/>
    <w:semiHidden/>
    <w:rPr>
      <w:rFonts w:ascii="Times New Roman" w:eastAsiaTheme="majorEastAsia" w:hAnsi="Times New Roman" w:cstheme="majorBidi"/>
      <w:iCs/>
      <w:sz w:val="24"/>
      <w:u w:val="single"/>
    </w:rPr>
  </w:style>
  <w:style w:type="character" w:customStyle="1" w:styleId="Heading8Char">
    <w:name w:val="Heading 8 Char"/>
    <w:basedOn w:val="DefaultParagraphFont"/>
    <w:link w:val="Heading8"/>
    <w:uiPriority w:val="9"/>
    <w:semiHidden/>
    <w:rPr>
      <w:rFonts w:ascii="Times New Roman" w:eastAsiaTheme="majorEastAsia" w:hAnsi="Times New Roman" w:cstheme="majorBidi"/>
      <w:i/>
      <w:sz w:val="24"/>
      <w:szCs w:val="20"/>
    </w:rPr>
  </w:style>
  <w:style w:type="character" w:customStyle="1" w:styleId="Heading9Char">
    <w:name w:val="Heading 9 Char"/>
    <w:basedOn w:val="DefaultParagraphFont"/>
    <w:link w:val="Heading9"/>
    <w:uiPriority w:val="9"/>
    <w:semiHidden/>
    <w:rPr>
      <w:rFonts w:ascii="Times New Roman" w:eastAsiaTheme="majorEastAsia" w:hAnsi="Times New Roman" w:cstheme="majorBidi"/>
      <w:iCs/>
      <w:sz w:val="24"/>
      <w:szCs w:val="20"/>
    </w:rPr>
  </w:style>
  <w:style w:type="numbering" w:styleId="ArticleSection">
    <w:name w:val="Outline List 3"/>
    <w:basedOn w:val="NoList"/>
    <w:uiPriority w:val="99"/>
    <w:semiHidden/>
    <w:unhideWhenUsed/>
    <w:pPr>
      <w:numPr>
        <w:numId w:val="4"/>
      </w:numPr>
    </w:pPr>
  </w:style>
  <w:style w:type="paragraph" w:styleId="BodyTextFirstIndent">
    <w:name w:val="Body Text First Indent"/>
    <w:basedOn w:val="BodyText"/>
    <w:link w:val="BodyTextFirstIndentChar"/>
    <w:unhideWhenUsed/>
    <w:pPr>
      <w:ind w:firstLine="72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4"/>
    </w:rPr>
  </w:style>
  <w:style w:type="paragraph" w:styleId="BodyTextIndent">
    <w:name w:val="Body Text Indent"/>
    <w:basedOn w:val="Normal"/>
    <w:link w:val="BodyTextIndentChar"/>
    <w:unhideWhenUsed/>
    <w:pPr>
      <w:ind w:left="720"/>
    </w:pPr>
  </w:style>
  <w:style w:type="character" w:customStyle="1" w:styleId="BodyTextIndentChar">
    <w:name w:val="Body Text Indent Char"/>
    <w:basedOn w:val="DefaultParagraphFont"/>
    <w:link w:val="BodyTextIndent"/>
  </w:style>
  <w:style w:type="paragraph" w:styleId="BodyTextFirstIndent2">
    <w:name w:val="Body Text First Indent 2"/>
    <w:basedOn w:val="BodyTextIndent"/>
    <w:link w:val="BodyTextFirstIndent2Char"/>
    <w:uiPriority w:val="99"/>
    <w:semiHidden/>
    <w:unhideWhenUsed/>
    <w:pPr>
      <w:ind w:firstLine="720"/>
    </w:pPr>
  </w:style>
  <w:style w:type="character" w:customStyle="1" w:styleId="BodyTextFirstIndent2Char">
    <w:name w:val="Body Text First Indent 2 Char"/>
    <w:basedOn w:val="BodyTextIndentChar"/>
    <w:link w:val="BodyTextFirstIndent2"/>
    <w:uiPriority w:val="99"/>
    <w:semiHidden/>
    <w:rPr>
      <w:rFonts w:ascii="Times New Roman" w:hAnsi="Times New Roman"/>
      <w:sz w:val="24"/>
    </w:rPr>
  </w:style>
  <w:style w:type="paragraph" w:styleId="Caption">
    <w:name w:val="caption"/>
    <w:basedOn w:val="Normal"/>
    <w:next w:val="Normal"/>
    <w:uiPriority w:val="35"/>
    <w:semiHidden/>
    <w:unhideWhenUsed/>
    <w:qFormat/>
    <w:rPr>
      <w:b/>
      <w:bCs/>
      <w:sz w:val="20"/>
      <w:szCs w:val="18"/>
    </w:rPr>
  </w:style>
  <w:style w:type="paragraph" w:customStyle="1" w:styleId="Centered">
    <w:name w:val="Centered"/>
    <w:basedOn w:val="Normal"/>
    <w:next w:val="BodyText"/>
    <w:uiPriority w:val="2"/>
    <w:qFormat/>
    <w:pPr>
      <w:spacing w:after="240" w:line="240" w:lineRule="exact"/>
      <w:jc w:val="center"/>
    </w:pPr>
  </w:style>
  <w:style w:type="paragraph" w:styleId="EnvelopeAddress">
    <w:name w:val="envelope address"/>
    <w:basedOn w:val="Normal"/>
    <w:uiPriority w:val="99"/>
    <w:semiHidden/>
    <w:unhideWhenUsed/>
    <w:qFormat/>
    <w:pPr>
      <w:framePr w:w="5760" w:h="2160" w:hRule="exact" w:hSpace="187" w:vSpace="187" w:wrap="around" w:vAnchor="page" w:hAnchor="page" w:x="6481" w:y="3068"/>
    </w:pPr>
    <w:rPr>
      <w:rFonts w:eastAsiaTheme="majorEastAsia" w:cstheme="majorBidi"/>
    </w:rPr>
  </w:style>
  <w:style w:type="paragraph" w:styleId="Footer">
    <w:name w:val="footer"/>
    <w:basedOn w:val="Normal"/>
    <w:link w:val="FooterChar"/>
    <w:uiPriority w:val="99"/>
    <w:unhideWhenUsed/>
    <w:qFormat/>
    <w:pPr>
      <w:tabs>
        <w:tab w:val="center" w:pos="4680"/>
        <w:tab w:val="right" w:pos="9360"/>
      </w:tabs>
      <w:jc w:val="left"/>
    </w:pPr>
    <w:rPr>
      <w:sz w:val="20"/>
    </w:rPr>
  </w:style>
  <w:style w:type="paragraph" w:customStyle="1" w:styleId="DeliveryPhrase">
    <w:name w:val="Delivery Phrase"/>
    <w:basedOn w:val="Normal"/>
    <w:next w:val="BodyText"/>
    <w:uiPriority w:val="3"/>
    <w:qFormat/>
    <w:pPr>
      <w:spacing w:before="240" w:after="240"/>
    </w:pPr>
    <w:rPr>
      <w:b/>
      <w:caps/>
    </w:rPr>
  </w:style>
  <w:style w:type="character" w:customStyle="1" w:styleId="FooterChar">
    <w:name w:val="Footer Char"/>
    <w:basedOn w:val="DefaultParagraphFont"/>
    <w:link w:val="Footer"/>
    <w:uiPriority w:val="99"/>
    <w:rPr>
      <w:rFonts w:ascii="Times New Roman" w:hAnsi="Times New Roman"/>
      <w:sz w:val="20"/>
    </w:rPr>
  </w:style>
  <w:style w:type="paragraph" w:styleId="FootnoteText">
    <w:name w:val="footnote text"/>
    <w:basedOn w:val="Normal"/>
    <w:link w:val="FootnoteTextChar"/>
    <w:uiPriority w:val="99"/>
    <w:semiHidden/>
    <w:unhideWhenUsed/>
    <w:pPr>
      <w:ind w:left="720" w:hanging="720"/>
    </w:pPr>
    <w:rPr>
      <w:sz w:val="16"/>
      <w:szCs w:val="20"/>
    </w:rPr>
  </w:style>
  <w:style w:type="character" w:customStyle="1" w:styleId="FootnoteTextChar">
    <w:name w:val="Footnote Text Char"/>
    <w:basedOn w:val="DefaultParagraphFont"/>
    <w:link w:val="FootnoteText"/>
    <w:uiPriority w:val="99"/>
    <w:semiHidden/>
    <w:rPr>
      <w:rFonts w:ascii="Times New Roman" w:hAnsi="Times New Roman"/>
      <w:sz w:val="16"/>
      <w:szCs w:val="20"/>
    </w:rPr>
  </w:style>
  <w:style w:type="paragraph" w:customStyle="1" w:styleId="LetterDate">
    <w:name w:val="Letter Date"/>
    <w:basedOn w:val="Normal"/>
    <w:next w:val="BodyText"/>
    <w:uiPriority w:val="11"/>
    <w:qFormat/>
  </w:style>
  <w:style w:type="paragraph" w:customStyle="1" w:styleId="LetterClosing">
    <w:name w:val="LetterClosing"/>
    <w:basedOn w:val="Normal"/>
    <w:next w:val="Normal"/>
    <w:uiPriority w:val="11"/>
    <w:qFormat/>
  </w:style>
  <w:style w:type="paragraph" w:customStyle="1" w:styleId="HeaderNumbers">
    <w:name w:val="HeaderNumbers"/>
    <w:basedOn w:val="Normal"/>
    <w:link w:val="HeaderNumbersChar"/>
    <w:uiPriority w:val="10"/>
    <w:semiHidden/>
    <w:unhideWhenUsed/>
    <w:qFormat/>
    <w:pPr>
      <w:spacing w:after="720" w:line="480" w:lineRule="exact"/>
      <w:ind w:right="144"/>
    </w:pPr>
  </w:style>
  <w:style w:type="character" w:customStyle="1" w:styleId="HeaderNumbersChar">
    <w:name w:val="HeaderNumbers Char"/>
    <w:basedOn w:val="DefaultParagraphFont"/>
    <w:link w:val="HeaderNumbers"/>
    <w:uiPriority w:val="10"/>
    <w:semiHidden/>
    <w:rPr>
      <w:rFonts w:ascii="Times New Roman" w:hAnsi="Times New Roman"/>
      <w:sz w:val="24"/>
    </w:rPr>
  </w:style>
  <w:style w:type="paragraph" w:customStyle="1" w:styleId="PleadingSignature">
    <w:name w:val="Pleading Signature"/>
    <w:basedOn w:val="Normal"/>
    <w:uiPriority w:val="13"/>
    <w:qFormat/>
    <w:pPr>
      <w:keepNext/>
      <w:keepLines/>
      <w:widowControl w:val="0"/>
      <w:tabs>
        <w:tab w:val="left" w:pos="5040"/>
        <w:tab w:val="right" w:pos="9360"/>
      </w:tabs>
      <w:spacing w:line="240" w:lineRule="exact"/>
      <w:ind w:left="5040"/>
    </w:pPr>
  </w:style>
  <w:style w:type="paragraph" w:styleId="Quote">
    <w:name w:val="Quote"/>
    <w:basedOn w:val="Normal"/>
    <w:next w:val="BodyText"/>
    <w:link w:val="QuoteChar"/>
    <w:uiPriority w:val="13"/>
    <w:qFormat/>
    <w:pPr>
      <w:spacing w:after="240"/>
      <w:ind w:left="720" w:right="720"/>
    </w:pPr>
    <w:rPr>
      <w:iCs/>
    </w:rPr>
  </w:style>
  <w:style w:type="character" w:customStyle="1" w:styleId="QuoteChar">
    <w:name w:val="Quote Char"/>
    <w:basedOn w:val="DefaultParagraphFont"/>
    <w:link w:val="Quote"/>
    <w:uiPriority w:val="13"/>
    <w:rPr>
      <w:rFonts w:ascii="Times New Roman" w:hAnsi="Times New Roman"/>
      <w:iCs/>
      <w:sz w:val="24"/>
    </w:rPr>
  </w:style>
  <w:style w:type="paragraph" w:styleId="TOAHeading">
    <w:name w:val="toa heading"/>
    <w:basedOn w:val="Normal"/>
    <w:next w:val="Normal"/>
    <w:uiPriority w:val="99"/>
    <w:qFormat/>
    <w:pPr>
      <w:keepNext/>
      <w:widowControl w:val="0"/>
      <w:spacing w:before="120" w:after="120" w:line="240" w:lineRule="exact"/>
      <w:jc w:val="center"/>
    </w:pPr>
    <w:rPr>
      <w:rFonts w:eastAsiaTheme="majorEastAsia" w:cstheme="majorBidi"/>
      <w:b/>
      <w:bCs/>
      <w:caps/>
    </w:rPr>
  </w:style>
  <w:style w:type="paragraph" w:styleId="TOC1">
    <w:name w:val="toc 1"/>
    <w:basedOn w:val="Normal"/>
    <w:next w:val="TOC2"/>
    <w:uiPriority w:val="39"/>
    <w:qFormat/>
    <w:pPr>
      <w:keepLines/>
      <w:tabs>
        <w:tab w:val="right" w:leader="dot" w:pos="9288"/>
      </w:tabs>
      <w:spacing w:after="120"/>
      <w:jc w:val="left"/>
    </w:pPr>
    <w:rPr>
      <w:b/>
      <w:caps/>
    </w:rPr>
  </w:style>
  <w:style w:type="paragraph" w:styleId="TOC2">
    <w:name w:val="toc 2"/>
    <w:basedOn w:val="Normal"/>
    <w:next w:val="TOC3"/>
    <w:uiPriority w:val="39"/>
    <w:qFormat/>
    <w:pPr>
      <w:keepLines/>
      <w:tabs>
        <w:tab w:val="right" w:leader="dot" w:pos="9288"/>
      </w:tabs>
      <w:spacing w:after="120"/>
      <w:ind w:left="1080" w:right="720" w:hanging="720"/>
    </w:pPr>
  </w:style>
  <w:style w:type="paragraph" w:styleId="TOC3">
    <w:name w:val="toc 3"/>
    <w:basedOn w:val="Normal"/>
    <w:next w:val="TOC4"/>
    <w:uiPriority w:val="39"/>
    <w:pPr>
      <w:keepLines/>
      <w:tabs>
        <w:tab w:val="right" w:leader="dot" w:pos="9288"/>
      </w:tabs>
      <w:spacing w:after="120"/>
      <w:ind w:left="1440" w:right="720" w:hanging="720"/>
    </w:pPr>
  </w:style>
  <w:style w:type="paragraph" w:styleId="TOC4">
    <w:name w:val="toc 4"/>
    <w:basedOn w:val="Normal"/>
    <w:next w:val="Normal"/>
    <w:uiPriority w:val="39"/>
    <w:pPr>
      <w:keepLines/>
      <w:tabs>
        <w:tab w:val="right" w:leader="dot" w:pos="9288"/>
      </w:tabs>
      <w:spacing w:after="120"/>
      <w:ind w:left="1800" w:right="720" w:hanging="720"/>
    </w:pPr>
  </w:style>
  <w:style w:type="paragraph" w:styleId="TOC8">
    <w:name w:val="toc 8"/>
    <w:basedOn w:val="Normal"/>
    <w:next w:val="Normal"/>
    <w:uiPriority w:val="39"/>
    <w:semiHidden/>
    <w:unhideWhenUsed/>
    <w:pPr>
      <w:spacing w:after="100"/>
      <w:ind w:left="1680"/>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hAnsi="Times New Roman"/>
      <w:sz w:val="24"/>
    </w:rPr>
  </w:style>
  <w:style w:type="numbering" w:styleId="111111">
    <w:name w:val="Outline List 2"/>
    <w:basedOn w:val="NoList"/>
    <w:semiHidden/>
    <w:pPr>
      <w:numPr>
        <w:numId w:val="5"/>
      </w:numPr>
    </w:pPr>
  </w:style>
  <w:style w:type="numbering" w:styleId="1ai">
    <w:name w:val="Outline List 1"/>
    <w:basedOn w:val="NoList"/>
    <w:semiHidden/>
    <w:pPr>
      <w:numPr>
        <w:numId w:val="7"/>
      </w:numPr>
    </w:pPr>
  </w:style>
  <w:style w:type="paragraph" w:styleId="BodyText2">
    <w:name w:val="Body Text 2"/>
    <w:basedOn w:val="Normal"/>
    <w:link w:val="BodyText2Char"/>
    <w:semiHidden/>
    <w:pPr>
      <w:spacing w:after="240" w:line="480" w:lineRule="auto"/>
    </w:pPr>
    <w:rPr>
      <w:rFonts w:eastAsia="Times New Roman" w:cs="Times New Roman"/>
    </w:rPr>
  </w:style>
  <w:style w:type="character" w:customStyle="1" w:styleId="BodyText2Char">
    <w:name w:val="Body Text 2 Char"/>
    <w:basedOn w:val="DefaultParagraphFont"/>
    <w:link w:val="BodyText2"/>
    <w:semiHidden/>
    <w:rPr>
      <w:rFonts w:ascii="Times New Roman" w:eastAsia="Times New Roman" w:hAnsi="Times New Roman" w:cs="Times New Roman"/>
      <w:sz w:val="24"/>
      <w:szCs w:val="24"/>
    </w:rPr>
  </w:style>
  <w:style w:type="paragraph" w:styleId="BodyText3">
    <w:name w:val="Body Text 3"/>
    <w:basedOn w:val="Normal"/>
    <w:link w:val="BodyText3Char"/>
    <w:semiHidden/>
    <w:pPr>
      <w:spacing w:after="240"/>
    </w:pPr>
    <w:rPr>
      <w:rFonts w:eastAsia="Times New Roman" w:cs="Times New Roman"/>
      <w:sz w:val="16"/>
      <w:szCs w:val="16"/>
    </w:rPr>
  </w:style>
  <w:style w:type="character" w:customStyle="1" w:styleId="BodyText3Char">
    <w:name w:val="Body Text 3 Char"/>
    <w:basedOn w:val="DefaultParagraphFont"/>
    <w:link w:val="BodyText3"/>
    <w:semiHidden/>
    <w:rPr>
      <w:rFonts w:ascii="Times New Roman" w:eastAsia="Times New Roman" w:hAnsi="Times New Roman" w:cs="Times New Roman"/>
      <w:sz w:val="16"/>
      <w:szCs w:val="16"/>
    </w:rPr>
  </w:style>
  <w:style w:type="paragraph" w:styleId="BodyTextIndent2">
    <w:name w:val="Body Text Indent 2"/>
    <w:basedOn w:val="Normal"/>
    <w:link w:val="BodyTextIndent2Char"/>
    <w:semiHidden/>
    <w:pPr>
      <w:spacing w:after="240" w:line="480" w:lineRule="auto"/>
      <w:ind w:left="720"/>
    </w:pPr>
    <w:rPr>
      <w:rFonts w:eastAsia="Times New Roman" w:cs="Times New Roman"/>
    </w:rPr>
  </w:style>
  <w:style w:type="character" w:customStyle="1" w:styleId="BodyTextIndent2Char">
    <w:name w:val="Body Text Indent 2 Char"/>
    <w:basedOn w:val="DefaultParagraphFont"/>
    <w:link w:val="BodyTextIndent2"/>
    <w:semiHidden/>
    <w:rPr>
      <w:rFonts w:ascii="Times New Roman" w:eastAsia="Times New Roman" w:hAnsi="Times New Roman" w:cs="Times New Roman"/>
      <w:sz w:val="24"/>
      <w:szCs w:val="24"/>
    </w:rPr>
  </w:style>
  <w:style w:type="paragraph" w:styleId="BodyTextIndent3">
    <w:name w:val="Body Text Indent 3"/>
    <w:basedOn w:val="Normal"/>
    <w:link w:val="BodyTextIndent3Char"/>
    <w:semiHidden/>
    <w:pPr>
      <w:spacing w:after="240"/>
      <w:ind w:left="720"/>
    </w:pPr>
    <w:rPr>
      <w:rFonts w:eastAsia="Times New Roman" w:cs="Times New Roman"/>
      <w:sz w:val="16"/>
      <w:szCs w:val="16"/>
    </w:rPr>
  </w:style>
  <w:style w:type="character" w:customStyle="1" w:styleId="BodyTextIndent3Char">
    <w:name w:val="Body Text Indent 3 Char"/>
    <w:basedOn w:val="DefaultParagraphFont"/>
    <w:link w:val="BodyTextIndent3"/>
    <w:semiHidden/>
    <w:rPr>
      <w:rFonts w:ascii="Times New Roman" w:eastAsia="Times New Roman" w:hAnsi="Times New Roman" w:cs="Times New Roman"/>
      <w:sz w:val="16"/>
      <w:szCs w:val="16"/>
    </w:rPr>
  </w:style>
  <w:style w:type="paragraph" w:styleId="Index1">
    <w:name w:val="index 1"/>
    <w:basedOn w:val="Normal"/>
    <w:next w:val="Normal"/>
    <w:autoRedefine/>
    <w:uiPriority w:val="99"/>
    <w:semiHidden/>
    <w:unhideWhenUsed/>
    <w:pPr>
      <w:ind w:left="240" w:hanging="240"/>
    </w:pPr>
  </w:style>
  <w:style w:type="paragraph" w:styleId="IndexHeading">
    <w:name w:val="index heading"/>
    <w:basedOn w:val="Normal"/>
    <w:next w:val="Index1"/>
    <w:uiPriority w:val="99"/>
    <w:semiHidden/>
    <w:unhideWhenUsed/>
    <w:rPr>
      <w:rFonts w:eastAsiaTheme="majorEastAsia" w:cstheme="majorBidi"/>
      <w:b/>
      <w:bCs/>
    </w:rPr>
  </w:style>
  <w:style w:type="paragraph" w:styleId="TOC9">
    <w:name w:val="toc 9"/>
    <w:basedOn w:val="Normal"/>
    <w:next w:val="Normal"/>
    <w:uiPriority w:val="39"/>
    <w:semiHidden/>
    <w:unhideWhenUsed/>
    <w:pPr>
      <w:spacing w:after="100"/>
      <w:ind w:left="19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itle">
    <w:name w:val="Title"/>
    <w:basedOn w:val="Normal"/>
    <w:next w:val="Normal"/>
    <w:link w:val="TitleChar"/>
    <w:uiPriority w:val="14"/>
    <w:qFormat/>
    <w:rsid w:val="00672A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4"/>
    <w:rsid w:val="00672A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4"/>
    <w:semiHidden/>
    <w:qFormat/>
    <w:rsid w:val="00672A0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4"/>
    <w:semiHidden/>
    <w:rsid w:val="00672A0F"/>
    <w:rPr>
      <w:rFonts w:asciiTheme="minorHAnsi" w:eastAsiaTheme="majorEastAsia" w:hAnsiTheme="minorHAnsi" w:cstheme="majorBidi"/>
      <w:color w:val="595959" w:themeColor="text1" w:themeTint="A6"/>
      <w:spacing w:val="15"/>
      <w:sz w:val="28"/>
      <w:szCs w:val="28"/>
    </w:rPr>
  </w:style>
  <w:style w:type="paragraph" w:styleId="ListParagraph">
    <w:name w:val="List Paragraph"/>
    <w:basedOn w:val="Normal"/>
    <w:uiPriority w:val="34"/>
    <w:semiHidden/>
    <w:unhideWhenUsed/>
    <w:qFormat/>
    <w:rsid w:val="00672A0F"/>
    <w:pPr>
      <w:ind w:left="720"/>
      <w:contextualSpacing/>
    </w:pPr>
  </w:style>
  <w:style w:type="character" w:styleId="IntenseEmphasis">
    <w:name w:val="Intense Emphasis"/>
    <w:basedOn w:val="DefaultParagraphFont"/>
    <w:uiPriority w:val="21"/>
    <w:semiHidden/>
    <w:unhideWhenUsed/>
    <w:qFormat/>
    <w:rsid w:val="00672A0F"/>
    <w:rPr>
      <w:i/>
      <w:iCs/>
      <w:color w:val="365F91" w:themeColor="accent1" w:themeShade="BF"/>
    </w:rPr>
  </w:style>
  <w:style w:type="paragraph" w:styleId="IntenseQuote">
    <w:name w:val="Intense Quote"/>
    <w:basedOn w:val="Normal"/>
    <w:next w:val="Normal"/>
    <w:link w:val="IntenseQuoteChar"/>
    <w:uiPriority w:val="30"/>
    <w:semiHidden/>
    <w:unhideWhenUsed/>
    <w:qFormat/>
    <w:rsid w:val="00672A0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672A0F"/>
    <w:rPr>
      <w:i/>
      <w:iCs/>
      <w:color w:val="365F91" w:themeColor="accent1" w:themeShade="BF"/>
    </w:rPr>
  </w:style>
  <w:style w:type="character" w:styleId="IntenseReference">
    <w:name w:val="Intense Reference"/>
    <w:basedOn w:val="DefaultParagraphFont"/>
    <w:uiPriority w:val="32"/>
    <w:semiHidden/>
    <w:unhideWhenUsed/>
    <w:qFormat/>
    <w:rsid w:val="00672A0F"/>
    <w:rPr>
      <w:b/>
      <w:bCs/>
      <w:smallCaps/>
      <w:color w:val="365F91" w:themeColor="accent1" w:themeShade="BF"/>
      <w:spacing w:val="5"/>
    </w:rPr>
  </w:style>
  <w:style w:type="paragraph" w:customStyle="1" w:styleId="StandardL1">
    <w:name w:val="Standard_L1"/>
    <w:basedOn w:val="Normal"/>
    <w:rsid w:val="00672A0F"/>
    <w:pPr>
      <w:keepNext/>
      <w:numPr>
        <w:numId w:val="19"/>
      </w:numPr>
      <w:spacing w:before="240" w:after="240"/>
      <w:jc w:val="left"/>
      <w:outlineLvl w:val="0"/>
    </w:pPr>
    <w:rPr>
      <w:b/>
      <w:caps/>
    </w:rPr>
  </w:style>
  <w:style w:type="paragraph" w:customStyle="1" w:styleId="StandardL2">
    <w:name w:val="Standard_L2"/>
    <w:basedOn w:val="StandardL1"/>
    <w:link w:val="StandardL2Char"/>
    <w:rsid w:val="00672A0F"/>
    <w:pPr>
      <w:keepNext w:val="0"/>
      <w:numPr>
        <w:ilvl w:val="1"/>
      </w:numPr>
      <w:spacing w:before="0"/>
      <w:jc w:val="both"/>
      <w:outlineLvl w:val="1"/>
    </w:pPr>
    <w:rPr>
      <w:rFonts w:eastAsia="Times New Roman" w:cs="Times New Roman"/>
      <w:b w:val="0"/>
      <w:caps w:val="0"/>
    </w:rPr>
  </w:style>
  <w:style w:type="paragraph" w:customStyle="1" w:styleId="StandardL3">
    <w:name w:val="Standard_L3"/>
    <w:basedOn w:val="StandardL2"/>
    <w:rsid w:val="00672A0F"/>
    <w:pPr>
      <w:numPr>
        <w:ilvl w:val="2"/>
      </w:numPr>
      <w:tabs>
        <w:tab w:val="clear" w:pos="1440"/>
      </w:tabs>
      <w:ind w:left="1224" w:hanging="504"/>
      <w:outlineLvl w:val="2"/>
    </w:pPr>
    <w:rPr>
      <w:szCs w:val="22"/>
    </w:rPr>
  </w:style>
  <w:style w:type="paragraph" w:customStyle="1" w:styleId="StandardL4">
    <w:name w:val="Standard_L4"/>
    <w:basedOn w:val="StandardL3"/>
    <w:rsid w:val="00672A0F"/>
    <w:pPr>
      <w:numPr>
        <w:ilvl w:val="3"/>
      </w:numPr>
      <w:tabs>
        <w:tab w:val="clear" w:pos="2160"/>
      </w:tabs>
      <w:ind w:left="1728" w:hanging="648"/>
      <w:outlineLvl w:val="3"/>
    </w:pPr>
  </w:style>
  <w:style w:type="paragraph" w:customStyle="1" w:styleId="StandardL5">
    <w:name w:val="Standard_L5"/>
    <w:basedOn w:val="StandardL4"/>
    <w:rsid w:val="00672A0F"/>
    <w:pPr>
      <w:numPr>
        <w:ilvl w:val="4"/>
      </w:numPr>
      <w:tabs>
        <w:tab w:val="clear" w:pos="3960"/>
      </w:tabs>
      <w:ind w:left="2232" w:hanging="792"/>
      <w:outlineLvl w:val="4"/>
    </w:pPr>
  </w:style>
  <w:style w:type="paragraph" w:customStyle="1" w:styleId="StandardL6">
    <w:name w:val="Standard_L6"/>
    <w:basedOn w:val="StandardL5"/>
    <w:rsid w:val="00672A0F"/>
    <w:pPr>
      <w:numPr>
        <w:ilvl w:val="5"/>
      </w:numPr>
      <w:tabs>
        <w:tab w:val="clear" w:pos="4680"/>
      </w:tabs>
      <w:ind w:left="2736" w:hanging="936"/>
      <w:outlineLvl w:val="5"/>
    </w:pPr>
  </w:style>
  <w:style w:type="paragraph" w:customStyle="1" w:styleId="StandardL7">
    <w:name w:val="Standard_L7"/>
    <w:basedOn w:val="StandardL6"/>
    <w:rsid w:val="00672A0F"/>
    <w:pPr>
      <w:numPr>
        <w:ilvl w:val="6"/>
      </w:numPr>
      <w:tabs>
        <w:tab w:val="clear" w:pos="5400"/>
      </w:tabs>
      <w:ind w:left="3240" w:hanging="1080"/>
      <w:outlineLvl w:val="6"/>
    </w:pPr>
  </w:style>
  <w:style w:type="paragraph" w:customStyle="1" w:styleId="StandardL8">
    <w:name w:val="Standard_L8"/>
    <w:basedOn w:val="StandardL7"/>
    <w:rsid w:val="00672A0F"/>
    <w:pPr>
      <w:numPr>
        <w:ilvl w:val="7"/>
      </w:numPr>
      <w:tabs>
        <w:tab w:val="clear" w:pos="6120"/>
      </w:tabs>
      <w:ind w:left="3744" w:hanging="1224"/>
      <w:outlineLvl w:val="7"/>
    </w:pPr>
  </w:style>
  <w:style w:type="paragraph" w:customStyle="1" w:styleId="StandardL9">
    <w:name w:val="Standard_L9"/>
    <w:basedOn w:val="StandardL8"/>
    <w:rsid w:val="00672A0F"/>
    <w:pPr>
      <w:numPr>
        <w:ilvl w:val="8"/>
      </w:numPr>
      <w:tabs>
        <w:tab w:val="clear" w:pos="6840"/>
      </w:tabs>
      <w:ind w:left="4320" w:hanging="1440"/>
      <w:outlineLvl w:val="8"/>
    </w:pPr>
  </w:style>
  <w:style w:type="character" w:styleId="Hyperlink">
    <w:name w:val="Hyperlink"/>
    <w:basedOn w:val="DefaultParagraphFont"/>
    <w:rsid w:val="00672A0F"/>
    <w:rPr>
      <w:color w:val="0000FF"/>
      <w:u w:val="single"/>
    </w:rPr>
  </w:style>
  <w:style w:type="character" w:customStyle="1" w:styleId="StandardL2Char">
    <w:name w:val="Standard_L2 Char"/>
    <w:basedOn w:val="BodyTextChar"/>
    <w:link w:val="StandardL2"/>
    <w:rsid w:val="00672A0F"/>
    <w:rPr>
      <w:rFonts w:ascii="Times New Roman" w:eastAsia="Times New Roman" w:hAnsi="Times New Roman" w:cs="Times New Roman"/>
      <w:sz w:val="24"/>
      <w:szCs w:val="24"/>
    </w:rPr>
  </w:style>
  <w:style w:type="character" w:styleId="Emphasis">
    <w:name w:val="Emphasis"/>
    <w:basedOn w:val="DefaultParagraphFont"/>
    <w:uiPriority w:val="20"/>
    <w:qFormat/>
    <w:rsid w:val="00672A0F"/>
    <w:rPr>
      <w:i/>
      <w:iCs/>
    </w:rPr>
  </w:style>
  <w:style w:type="character" w:customStyle="1" w:styleId="fontstyle01">
    <w:name w:val="fontstyle01"/>
    <w:basedOn w:val="DefaultParagraphFont"/>
    <w:rsid w:val="00484A72"/>
    <w:rPr>
      <w:rFonts w:ascii="Calibri-Light" w:hAnsi="Calibri-Light" w:hint="default"/>
      <w:b w:val="0"/>
      <w:bCs w:val="0"/>
      <w:i w:val="0"/>
      <w:iCs w:val="0"/>
      <w:color w:val="000000"/>
      <w:sz w:val="22"/>
      <w:szCs w:val="22"/>
    </w:rPr>
  </w:style>
  <w:style w:type="paragraph" w:styleId="Revision">
    <w:name w:val="Revision"/>
    <w:hidden/>
    <w:uiPriority w:val="99"/>
    <w:semiHidden/>
    <w:rsid w:val="00E470F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xcytedigita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ik@sophiccapital.com" TargetMode="External"/><Relationship Id="rId4" Type="http://schemas.openxmlformats.org/officeDocument/2006/relationships/settings" Target="settings.xml"/><Relationship Id="rId9" Type="http://schemas.openxmlformats.org/officeDocument/2006/relationships/hyperlink" Target="mailto:investment@xcytedigit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WSLegal!40191908.1</documentid>
  <senderid>SOY</senderid>
  <senderemail>SOY@BENNETTJONES.COM</senderemail>
  <lastmodified>2025-02-05T10:30:00.0000000-05:00</lastmodified>
  <database>WSLegal</database>
</properties>
</file>

<file path=customXml/itemProps1.xml><?xml version="1.0" encoding="utf-8"?>
<ds:datastoreItem xmlns:ds="http://schemas.openxmlformats.org/officeDocument/2006/customXml" ds:itemID="{1BEC29AA-D439-469C-A741-FE2F28043463}">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dc:creator>
  <cp:lastModifiedBy>ryan.freemantle@outlook.com</cp:lastModifiedBy>
  <cp:revision>11</cp:revision>
  <cp:lastPrinted>1900-01-01T05:00:00Z</cp:lastPrinted>
  <dcterms:created xsi:type="dcterms:W3CDTF">2025-02-19T11:30:00Z</dcterms:created>
  <dcterms:modified xsi:type="dcterms:W3CDTF">2025-02-19T12:25:00Z</dcterms:modified>
</cp:coreProperties>
</file>