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CAA3" w14:textId="77777777" w:rsidR="00C722A0" w:rsidRDefault="00C722A0" w:rsidP="00C722A0">
      <w:pPr>
        <w:pStyle w:val="NormalWeb"/>
        <w:spacing w:before="0" w:beforeAutospacing="0" w:after="0" w:afterAutospacing="0"/>
        <w:rPr>
          <w:rStyle w:val="Strong"/>
          <w:color w:val="0E101A"/>
        </w:rPr>
      </w:pPr>
      <w:r w:rsidRPr="00C722A0">
        <w:rPr>
          <w:rStyle w:val="Strong"/>
          <w:color w:val="0E101A"/>
        </w:rPr>
        <w:t>Adnexus Biotechnologies Unveils AI-Driven Malaria Cure with Trapicolast</w:t>
      </w:r>
    </w:p>
    <w:p w14:paraId="74116B07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7839B5A4" w14:textId="6F53B941" w:rsid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 xml:space="preserve">DALLAS, TX / ACCESSWIRE / January 7, 2025 - Adnexus Biotechnologies Inc. proudly announces the launch of Trapicolast, a pioneering antimalarial drug developed through its innovative AI-powered Sutra™ platform. </w:t>
      </w:r>
      <w:r>
        <w:rPr>
          <w:color w:val="0E101A"/>
        </w:rPr>
        <w:t>I</w:t>
      </w:r>
      <w:r w:rsidRPr="00C722A0">
        <w:rPr>
          <w:color w:val="0E101A"/>
        </w:rPr>
        <w:t xml:space="preserve">ntegrating </w:t>
      </w:r>
      <w:r w:rsidR="00BD5793">
        <w:rPr>
          <w:color w:val="0E101A"/>
        </w:rPr>
        <w:t xml:space="preserve">AI Platform discovered </w:t>
      </w:r>
      <w:r w:rsidRPr="00C722A0">
        <w:rPr>
          <w:color w:val="0E101A"/>
        </w:rPr>
        <w:t xml:space="preserve">ADX1 and ADX2, </w:t>
      </w:r>
      <w:r>
        <w:rPr>
          <w:color w:val="0E101A"/>
        </w:rPr>
        <w:t xml:space="preserve">this breakthrough medication </w:t>
      </w:r>
      <w:r w:rsidRPr="00C722A0">
        <w:rPr>
          <w:color w:val="0E101A"/>
        </w:rPr>
        <w:t>targets dual mechanisms within the Plasmodium parasite, attacking both the apicoplast and vesicular trafficking pathways.</w:t>
      </w:r>
    </w:p>
    <w:p w14:paraId="3AD34790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58FA3A08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A New Era in Malaria Treatment</w:t>
      </w:r>
    </w:p>
    <w:p w14:paraId="12911C80" w14:textId="2F3E8CE8" w:rsid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 xml:space="preserve">Traditional antimalarial treatments have </w:t>
      </w:r>
      <w:r w:rsidR="00D42096">
        <w:rPr>
          <w:color w:val="0E101A"/>
        </w:rPr>
        <w:t>primari</w:t>
      </w:r>
      <w:r w:rsidRPr="00C722A0">
        <w:rPr>
          <w:color w:val="0E101A"/>
        </w:rPr>
        <w:t xml:space="preserve">ly ignored the apicoplast, an organelle crucial for the parasite's survival. Trapicolast introduces a novel strategy by focusing on this overlooked target, providing a potent </w:t>
      </w:r>
      <w:r w:rsidR="00D0042E" w:rsidRPr="00C722A0">
        <w:rPr>
          <w:color w:val="0E101A"/>
        </w:rPr>
        <w:t>defence</w:t>
      </w:r>
      <w:r w:rsidRPr="00C722A0">
        <w:rPr>
          <w:color w:val="0E101A"/>
        </w:rPr>
        <w:t xml:space="preserve"> against the escalating challenge of drug resistance, especially against artemisinin-based therapies.</w:t>
      </w:r>
    </w:p>
    <w:p w14:paraId="59A8C72C" w14:textId="77777777" w:rsidR="00B86618" w:rsidRPr="00C722A0" w:rsidRDefault="00B86618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63FF1AF0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Revolutionizing Treatment with Dual-Target Mechanism</w:t>
      </w:r>
    </w:p>
    <w:p w14:paraId="4CB94B1E" w14:textId="77777777" w:rsid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>Trapicolast's unique dual-target approach disrupts the parasite's apicoplast DNA synthesis and vesicular trafficking, offering a robust and sustainable treatment option. This mechanism is particularly vital in areas where resistance to existing treatments is prevalent, offering new hope in regions like Sub-Saharan Africa and Southeast Asia.</w:t>
      </w:r>
    </w:p>
    <w:p w14:paraId="50D5D544" w14:textId="77777777" w:rsidR="00B86618" w:rsidRPr="00C722A0" w:rsidRDefault="00B86618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7B83A73F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The Power of AI in Drug Discovery</w:t>
      </w:r>
    </w:p>
    <w:p w14:paraId="04B40491" w14:textId="3346F8FC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 xml:space="preserve">The creation of Trapicolast underscores the transformative impact of artificial intelligence in pharmaceuticals. Leveraging the Sutra™ AI platform, Adnexus analyzed over 8 million molecular compounds, swiftly identifying Trapicolast. This approach exemplifies how AI can accelerate drug discovery, making it faster </w:t>
      </w:r>
      <w:r>
        <w:rPr>
          <w:color w:val="0E101A"/>
        </w:rPr>
        <w:t>and</w:t>
      </w:r>
      <w:r w:rsidRPr="00C722A0">
        <w:rPr>
          <w:color w:val="0E101A"/>
        </w:rPr>
        <w:t xml:space="preserve"> more cost-effective.</w:t>
      </w:r>
      <w:r w:rsidR="00D0042E">
        <w:rPr>
          <w:color w:val="0E101A"/>
        </w:rPr>
        <w:t xml:space="preserve"> This discovery has been covered in a patent application.</w:t>
      </w:r>
    </w:p>
    <w:p w14:paraId="015D7257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3D4E59FF" w14:textId="6C9C41F4" w:rsidR="00075E5D" w:rsidRPr="00C722A0" w:rsidRDefault="00B51B86">
      <w:pPr>
        <w:spacing w:before="240" w:after="240"/>
      </w:pPr>
      <w:r w:rsidRPr="00C722A0">
        <w:rPr>
          <w:noProof/>
        </w:rPr>
        <w:drawing>
          <wp:inline distT="0" distB="0" distL="0" distR="0" wp14:anchorId="419B1711" wp14:editId="75D0B087">
            <wp:extent cx="3292475" cy="2105891"/>
            <wp:effectExtent l="0" t="0" r="0" b="2540"/>
            <wp:docPr id="974479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79482" name="Picture 9744794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904" cy="212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E4E9" w14:textId="0EAACB8C" w:rsidR="00075E5D" w:rsidRPr="00C722A0" w:rsidRDefault="00B51B86">
      <w:pPr>
        <w:spacing w:before="240" w:after="240"/>
      </w:pPr>
      <w:r w:rsidRPr="00C722A0">
        <w:t xml:space="preserve">Figure </w:t>
      </w:r>
      <w:r w:rsidR="00C722A0">
        <w:t xml:space="preserve">1 </w:t>
      </w:r>
      <w:r w:rsidRPr="00C722A0">
        <w:t>demonstrat</w:t>
      </w:r>
      <w:r w:rsidR="00344CD0">
        <w:t>es</w:t>
      </w:r>
      <w:r w:rsidRPr="00C722A0">
        <w:t xml:space="preserve"> </w:t>
      </w:r>
      <w:r w:rsidR="00954BD2">
        <w:t xml:space="preserve">the </w:t>
      </w:r>
      <w:r w:rsidRPr="00C722A0">
        <w:t>Sutra</w:t>
      </w:r>
      <w:r w:rsidR="00344CD0" w:rsidRPr="00C722A0">
        <w:rPr>
          <w:color w:val="0E101A"/>
        </w:rPr>
        <w:t>™</w:t>
      </w:r>
      <w:r w:rsidR="00344CD0">
        <w:rPr>
          <w:color w:val="0E101A"/>
        </w:rPr>
        <w:t xml:space="preserve"> AI Platform</w:t>
      </w:r>
      <w:r w:rsidRPr="00C722A0">
        <w:t xml:space="preserve"> logo</w:t>
      </w:r>
      <w:r w:rsidR="00954BD2">
        <w:t>.</w:t>
      </w:r>
      <w:r w:rsidRPr="00C722A0">
        <w:t xml:space="preserve"> </w:t>
      </w:r>
    </w:p>
    <w:p w14:paraId="6A8064C0" w14:textId="09C72C44" w:rsidR="003938A8" w:rsidRPr="00C722A0" w:rsidRDefault="003938A8">
      <w:pPr>
        <w:spacing w:before="240" w:after="240"/>
      </w:pPr>
    </w:p>
    <w:p w14:paraId="2F27CF5E" w14:textId="069B6A2A" w:rsidR="003938A8" w:rsidRPr="00C722A0" w:rsidRDefault="00363820">
      <w:pPr>
        <w:spacing w:before="240" w:after="240"/>
      </w:pPr>
      <w:r>
        <w:rPr>
          <w:noProof/>
        </w:rPr>
        <w:lastRenderedPageBreak/>
        <w:drawing>
          <wp:inline distT="0" distB="0" distL="0" distR="0" wp14:anchorId="134492F2" wp14:editId="4B397AEC">
            <wp:extent cx="5943600" cy="3731895"/>
            <wp:effectExtent l="0" t="0" r="0" b="1905"/>
            <wp:docPr id="1598842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842068" name="Picture 15988420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318D2" w14:textId="502A01B5" w:rsidR="003938A8" w:rsidRPr="00C722A0" w:rsidRDefault="003938A8">
      <w:pPr>
        <w:pStyle w:val="Heading3"/>
        <w:keepNext w:val="0"/>
        <w:keepLines w:val="0"/>
        <w:spacing w:before="280"/>
        <w:rPr>
          <w:b/>
          <w:color w:val="000000"/>
          <w:sz w:val="24"/>
          <w:szCs w:val="24"/>
        </w:rPr>
      </w:pPr>
      <w:bookmarkStart w:id="0" w:name="_myh2jmcma8d9" w:colFirst="0" w:colLast="0"/>
      <w:bookmarkEnd w:id="0"/>
      <w:r w:rsidRPr="00C722A0">
        <w:rPr>
          <w:sz w:val="24"/>
          <w:szCs w:val="24"/>
        </w:rPr>
        <w:t xml:space="preserve">Figure </w:t>
      </w:r>
      <w:r w:rsidR="00C722A0">
        <w:rPr>
          <w:sz w:val="24"/>
          <w:szCs w:val="24"/>
        </w:rPr>
        <w:t>2</w:t>
      </w:r>
      <w:r w:rsidRPr="00C722A0">
        <w:rPr>
          <w:sz w:val="24"/>
          <w:szCs w:val="24"/>
        </w:rPr>
        <w:t xml:space="preserve"> provides compelling evidence of how </w:t>
      </w:r>
      <w:r w:rsidR="00344CD0">
        <w:rPr>
          <w:sz w:val="24"/>
          <w:szCs w:val="24"/>
        </w:rPr>
        <w:t xml:space="preserve">the </w:t>
      </w:r>
      <w:r w:rsidRPr="00C722A0">
        <w:rPr>
          <w:sz w:val="24"/>
          <w:szCs w:val="24"/>
        </w:rPr>
        <w:t>Sutra</w:t>
      </w:r>
      <w:r w:rsidR="00344CD0" w:rsidRPr="00C722A0">
        <w:rPr>
          <w:color w:val="0E101A"/>
          <w:sz w:val="24"/>
          <w:szCs w:val="24"/>
        </w:rPr>
        <w:t>™</w:t>
      </w:r>
      <w:r w:rsidRPr="00C722A0">
        <w:rPr>
          <w:sz w:val="24"/>
          <w:szCs w:val="24"/>
        </w:rPr>
        <w:t xml:space="preserve"> AI Platform</w:t>
      </w:r>
      <w:r w:rsidR="00C722A0">
        <w:rPr>
          <w:sz w:val="24"/>
          <w:szCs w:val="24"/>
        </w:rPr>
        <w:t>-</w:t>
      </w:r>
      <w:r w:rsidRPr="00C722A0">
        <w:rPr>
          <w:sz w:val="24"/>
          <w:szCs w:val="24"/>
        </w:rPr>
        <w:t>driven discover</w:t>
      </w:r>
      <w:r w:rsidR="00C722A0">
        <w:rPr>
          <w:sz w:val="24"/>
          <w:szCs w:val="24"/>
        </w:rPr>
        <w:t>y</w:t>
      </w:r>
      <w:r w:rsidRPr="00C722A0">
        <w:rPr>
          <w:sz w:val="24"/>
          <w:szCs w:val="24"/>
        </w:rPr>
        <w:t xml:space="preserve"> </w:t>
      </w:r>
      <w:r w:rsidR="00344CD0">
        <w:rPr>
          <w:sz w:val="24"/>
          <w:szCs w:val="24"/>
        </w:rPr>
        <w:t xml:space="preserve">of </w:t>
      </w:r>
      <w:r w:rsidRPr="00C722A0">
        <w:rPr>
          <w:sz w:val="24"/>
          <w:szCs w:val="24"/>
        </w:rPr>
        <w:t>ADX1 and ADX2 halt the DNA synthesis in malaria parasites, demonstrating Trapicolast's unique mechanism of action.</w:t>
      </w:r>
    </w:p>
    <w:p w14:paraId="6A809225" w14:textId="77777777" w:rsidR="003938A8" w:rsidRPr="00C722A0" w:rsidRDefault="003938A8">
      <w:pPr>
        <w:pStyle w:val="Heading3"/>
        <w:keepNext w:val="0"/>
        <w:keepLines w:val="0"/>
        <w:spacing w:before="280"/>
        <w:rPr>
          <w:b/>
          <w:color w:val="000000"/>
          <w:sz w:val="24"/>
          <w:szCs w:val="24"/>
        </w:rPr>
      </w:pPr>
    </w:p>
    <w:p w14:paraId="00000008" w14:textId="643BF05A" w:rsidR="00806D84" w:rsidRPr="00C722A0" w:rsidRDefault="00000000">
      <w:pPr>
        <w:pStyle w:val="Heading3"/>
        <w:keepNext w:val="0"/>
        <w:keepLines w:val="0"/>
        <w:spacing w:before="280"/>
        <w:rPr>
          <w:b/>
          <w:color w:val="000000"/>
          <w:sz w:val="24"/>
          <w:szCs w:val="24"/>
        </w:rPr>
      </w:pPr>
      <w:r w:rsidRPr="00C722A0">
        <w:rPr>
          <w:b/>
          <w:color w:val="000000"/>
          <w:sz w:val="24"/>
          <w:szCs w:val="24"/>
        </w:rPr>
        <w:t>Key Features and Insights</w:t>
      </w:r>
    </w:p>
    <w:p w14:paraId="00000009" w14:textId="36F1440E" w:rsidR="00806D84" w:rsidRPr="00C722A0" w:rsidRDefault="00000000">
      <w:pPr>
        <w:numPr>
          <w:ilvl w:val="0"/>
          <w:numId w:val="2"/>
        </w:numPr>
        <w:spacing w:before="240"/>
      </w:pPr>
      <w:r w:rsidRPr="00C722A0">
        <w:rPr>
          <w:b/>
        </w:rPr>
        <w:t>Apicoplast Targeting:</w:t>
      </w:r>
      <w:r w:rsidRPr="00C722A0">
        <w:t xml:space="preserve"> </w:t>
      </w:r>
      <w:r w:rsidRPr="00C722A0">
        <w:rPr>
          <w:i/>
        </w:rPr>
        <w:t>Trapicolast</w:t>
      </w:r>
      <w:r w:rsidRPr="00C722A0">
        <w:t xml:space="preserve"> uniquely targets the apicoplast, a vital component </w:t>
      </w:r>
      <w:r w:rsidR="001E3B80" w:rsidRPr="00C722A0">
        <w:t>of</w:t>
      </w:r>
      <w:r w:rsidRPr="00C722A0">
        <w:t xml:space="preserve"> the </w:t>
      </w:r>
      <w:r w:rsidRPr="00C722A0">
        <w:rPr>
          <w:i/>
        </w:rPr>
        <w:t>Plasmodium</w:t>
      </w:r>
      <w:r w:rsidRPr="00C722A0">
        <w:t xml:space="preserve"> parasite </w:t>
      </w:r>
      <w:r w:rsidR="001E3B80" w:rsidRPr="00C722A0">
        <w:t>that</w:t>
      </w:r>
      <w:r w:rsidRPr="00C722A0">
        <w:t xml:space="preserve"> </w:t>
      </w:r>
      <w:r w:rsidR="001E3B80" w:rsidRPr="00C722A0">
        <w:t>previous treatments have largely neglected</w:t>
      </w:r>
      <w:r w:rsidRPr="00C722A0">
        <w:t>.</w:t>
      </w:r>
    </w:p>
    <w:p w14:paraId="0000000A" w14:textId="77777777" w:rsidR="00806D84" w:rsidRPr="00C722A0" w:rsidRDefault="00000000">
      <w:pPr>
        <w:numPr>
          <w:ilvl w:val="0"/>
          <w:numId w:val="2"/>
        </w:numPr>
      </w:pPr>
      <w:r w:rsidRPr="00C722A0">
        <w:rPr>
          <w:b/>
        </w:rPr>
        <w:t>Dual-Target Mechanism:</w:t>
      </w:r>
      <w:r w:rsidRPr="00C722A0">
        <w:t xml:space="preserve"> The combination of ADX1 and ADX2 in </w:t>
      </w:r>
      <w:r w:rsidRPr="00C722A0">
        <w:rPr>
          <w:i/>
        </w:rPr>
        <w:t>Trapicolast</w:t>
      </w:r>
      <w:r w:rsidRPr="00C722A0">
        <w:t xml:space="preserve"> inhibits DNA synthesis and vesicular trafficking in the malaria parasite, making it resistant to developing resistance mechanisms.</w:t>
      </w:r>
    </w:p>
    <w:p w14:paraId="0000000B" w14:textId="77777777" w:rsidR="00806D84" w:rsidRPr="00C722A0" w:rsidRDefault="00000000">
      <w:pPr>
        <w:numPr>
          <w:ilvl w:val="0"/>
          <w:numId w:val="2"/>
        </w:numPr>
        <w:spacing w:after="240"/>
      </w:pPr>
      <w:r w:rsidRPr="00C722A0">
        <w:rPr>
          <w:b/>
        </w:rPr>
        <w:t>Resistance Overcoming:</w:t>
      </w:r>
      <w:r w:rsidRPr="00C722A0">
        <w:t xml:space="preserve"> With the rise of drug-resistant malaria strains, </w:t>
      </w:r>
      <w:r w:rsidRPr="00C722A0">
        <w:rPr>
          <w:i/>
        </w:rPr>
        <w:t>Trapicolast</w:t>
      </w:r>
      <w:r w:rsidRPr="00C722A0">
        <w:t xml:space="preserve"> offers a promising new solution, especially in high-transmission areas like Sub-Saharan Africa and Southeast Asia.</w:t>
      </w:r>
    </w:p>
    <w:p w14:paraId="069B999E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bookmarkStart w:id="1" w:name="_c3hcbniz2jqn" w:colFirst="0" w:colLast="0"/>
      <w:bookmarkStart w:id="2" w:name="_2ibp6n207d1l" w:colFirst="0" w:colLast="0"/>
      <w:bookmarkEnd w:id="1"/>
      <w:bookmarkEnd w:id="2"/>
      <w:r w:rsidRPr="00C722A0">
        <w:rPr>
          <w:rStyle w:val="Strong"/>
          <w:color w:val="0E101A"/>
        </w:rPr>
        <w:t>Visionary Insights from Leadership</w:t>
      </w:r>
    </w:p>
    <w:p w14:paraId="691EF266" w14:textId="77777777" w:rsidR="00344CD0" w:rsidRDefault="00344CD0" w:rsidP="00344CD0">
      <w:pPr>
        <w:numPr>
          <w:ilvl w:val="0"/>
          <w:numId w:val="9"/>
        </w:numPr>
        <w:spacing w:before="240"/>
        <w:ind w:hanging="280"/>
      </w:pPr>
      <w:r>
        <w:t xml:space="preserve">Dr. Kirsten Bischof, a distinguished member of Adnexus's Advisory Board and co-inventor, stated, "We have unlocked a new frontier in drug discovery by targeting the apicoplast to bypass resistance, potentially saving countless lives in regions heavily affected by malaria. Given the severe impact of malaria in high-transmission areas such as Africa and Asia, this innovation offers a more effective and sustainable management </w:t>
      </w:r>
      <w:r>
        <w:lastRenderedPageBreak/>
        <w:t>strategy, bringing hope for saving many lives. This is not just science; it is a beacon of hope."</w:t>
      </w:r>
    </w:p>
    <w:p w14:paraId="63462A57" w14:textId="257F8B76" w:rsidR="00344CD0" w:rsidRDefault="00344CD0" w:rsidP="00344CD0">
      <w:pPr>
        <w:numPr>
          <w:ilvl w:val="0"/>
          <w:numId w:val="9"/>
        </w:numPr>
        <w:spacing w:after="240"/>
        <w:ind w:hanging="280"/>
      </w:pPr>
      <w:r>
        <w:t>Dr. Gaurav Chandra, CEO of Adnexus, exclaims, "The discovery of Trapicolast via our Sutra</w:t>
      </w:r>
      <w:r w:rsidR="00DE76D5" w:rsidRPr="00C722A0">
        <w:rPr>
          <w:color w:val="0E101A"/>
        </w:rPr>
        <w:t>™</w:t>
      </w:r>
      <w:r>
        <w:t xml:space="preserve"> AI platform isn't just an advancement; it's a revolution. It showcases our commitment to pushing the boundaries of what's possible in medical science, promising a future where malaria might no longer claim lives. It also validates the potential of </w:t>
      </w:r>
      <w:r w:rsidR="00DE76D5">
        <w:t xml:space="preserve">the </w:t>
      </w:r>
      <w:r>
        <w:t>Sutra</w:t>
      </w:r>
      <w:r w:rsidR="00DE76D5" w:rsidRPr="00C722A0">
        <w:rPr>
          <w:color w:val="0E101A"/>
        </w:rPr>
        <w:t>™</w:t>
      </w:r>
      <w:r>
        <w:t xml:space="preserve"> AI platform in drug discovery." He further added.” While meeting our milestones for our HIV assets is a priority, we will further advance this Malaria drug in collaboration with our partners in India</w:t>
      </w:r>
      <w:r w:rsidR="00D0042E">
        <w:t xml:space="preserve"> with access to specific models and resistant strains</w:t>
      </w:r>
      <w:r>
        <w:t>.”</w:t>
      </w:r>
    </w:p>
    <w:p w14:paraId="24DBD6D8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Strategic Partnerships for Global Impact</w:t>
      </w:r>
    </w:p>
    <w:p w14:paraId="20CDE6F3" w14:textId="77777777" w:rsid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>Adnexus has solidified its commitment to innovation through a strategic partnership with 1606 Corp (OTC: CBDW), aiming to expand its AI-driven healthcare solutions. This collaboration underscores Adnexus's dedication to advancing global health outcomes.</w:t>
      </w:r>
    </w:p>
    <w:p w14:paraId="0FFAF294" w14:textId="77777777" w:rsidR="00BD5793" w:rsidRPr="00C722A0" w:rsidRDefault="00BD5793" w:rsidP="00C722A0">
      <w:pPr>
        <w:pStyle w:val="NormalWeb"/>
        <w:spacing w:before="0" w:beforeAutospacing="0" w:after="0" w:afterAutospacing="0"/>
        <w:rPr>
          <w:color w:val="0E101A"/>
        </w:rPr>
      </w:pPr>
    </w:p>
    <w:p w14:paraId="1621C0E3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About Adnexus Biotechnologies Inc.</w:t>
      </w:r>
    </w:p>
    <w:p w14:paraId="27F17851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color w:val="0E101A"/>
        </w:rPr>
        <w:t>Adnexus Biotechnologies stands at the forefront of AI-enabled drug discovery, concentrating on treatments for infectious diseases like malaria and HIV. The company's proprietary Sutra™ AI platform is instrumental in:</w:t>
      </w:r>
    </w:p>
    <w:p w14:paraId="75A18993" w14:textId="77777777" w:rsidR="00C722A0" w:rsidRPr="00C722A0" w:rsidRDefault="00C722A0" w:rsidP="00C722A0">
      <w:pPr>
        <w:numPr>
          <w:ilvl w:val="0"/>
          <w:numId w:val="7"/>
        </w:numPr>
        <w:rPr>
          <w:color w:val="0E101A"/>
        </w:rPr>
      </w:pPr>
      <w:r w:rsidRPr="00C722A0">
        <w:rPr>
          <w:color w:val="0E101A"/>
        </w:rPr>
        <w:t>Accelerating drug discovery processes</w:t>
      </w:r>
    </w:p>
    <w:p w14:paraId="5127B78D" w14:textId="77777777" w:rsidR="00C722A0" w:rsidRPr="00C722A0" w:rsidRDefault="00C722A0" w:rsidP="00C722A0">
      <w:pPr>
        <w:numPr>
          <w:ilvl w:val="0"/>
          <w:numId w:val="7"/>
        </w:numPr>
        <w:rPr>
          <w:color w:val="0E101A"/>
        </w:rPr>
      </w:pPr>
      <w:r w:rsidRPr="00C722A0">
        <w:rPr>
          <w:color w:val="0E101A"/>
        </w:rPr>
        <w:t>Identifying novel biomarkers for diseases</w:t>
      </w:r>
    </w:p>
    <w:p w14:paraId="7BB96C51" w14:textId="77777777" w:rsidR="00C722A0" w:rsidRDefault="00C722A0" w:rsidP="00C722A0">
      <w:pPr>
        <w:numPr>
          <w:ilvl w:val="0"/>
          <w:numId w:val="7"/>
        </w:numPr>
        <w:rPr>
          <w:color w:val="0E101A"/>
        </w:rPr>
      </w:pPr>
      <w:r w:rsidRPr="00C722A0">
        <w:rPr>
          <w:color w:val="0E101A"/>
        </w:rPr>
        <w:t>Advancing personalized medicine approaches</w:t>
      </w:r>
    </w:p>
    <w:p w14:paraId="224660F5" w14:textId="77777777" w:rsidR="00B86618" w:rsidRPr="00C722A0" w:rsidRDefault="00B86618" w:rsidP="00B86618">
      <w:pPr>
        <w:ind w:left="720"/>
        <w:rPr>
          <w:color w:val="0E101A"/>
        </w:rPr>
      </w:pPr>
    </w:p>
    <w:p w14:paraId="137D664D" w14:textId="77777777" w:rsidR="00C722A0" w:rsidRPr="00C722A0" w:rsidRDefault="00C722A0" w:rsidP="00C722A0">
      <w:pPr>
        <w:pStyle w:val="NormalWeb"/>
        <w:spacing w:before="0" w:beforeAutospacing="0" w:after="0" w:afterAutospacing="0"/>
        <w:rPr>
          <w:color w:val="0E101A"/>
        </w:rPr>
      </w:pPr>
      <w:r w:rsidRPr="00C722A0">
        <w:rPr>
          <w:rStyle w:val="Strong"/>
          <w:color w:val="0E101A"/>
        </w:rPr>
        <w:t>Market Insights</w:t>
      </w:r>
    </w:p>
    <w:p w14:paraId="4CCA49A6" w14:textId="2C43C6B8" w:rsidR="00C722A0" w:rsidRPr="00C722A0" w:rsidRDefault="00C722A0" w:rsidP="00C722A0">
      <w:pPr>
        <w:numPr>
          <w:ilvl w:val="0"/>
          <w:numId w:val="8"/>
        </w:numPr>
        <w:rPr>
          <w:color w:val="0E101A"/>
        </w:rPr>
      </w:pPr>
      <w:r w:rsidRPr="00C722A0">
        <w:rPr>
          <w:rStyle w:val="Strong"/>
          <w:color w:val="0E101A"/>
        </w:rPr>
        <w:t>Global Malaria Treatment Market</w:t>
      </w:r>
      <w:r w:rsidRPr="00C722A0">
        <w:rPr>
          <w:color w:val="0E101A"/>
        </w:rPr>
        <w:t xml:space="preserve">: </w:t>
      </w:r>
      <w:r w:rsidR="00B86618">
        <w:rPr>
          <w:color w:val="0E101A"/>
        </w:rPr>
        <w:t>This market is e</w:t>
      </w:r>
      <w:r w:rsidRPr="00C722A0">
        <w:rPr>
          <w:color w:val="0E101A"/>
        </w:rPr>
        <w:t>xpected to grow to USD 2.93 billion by 2033, with the antimalarial drug sector</w:t>
      </w:r>
      <w:r w:rsidR="00B86618">
        <w:rPr>
          <w:color w:val="0E101A"/>
        </w:rPr>
        <w:t xml:space="preserve"> growing</w:t>
      </w:r>
      <w:r w:rsidRPr="00C722A0">
        <w:rPr>
          <w:color w:val="0E101A"/>
        </w:rPr>
        <w:t xml:space="preserve"> at a CAGR of 4.26% from 2024 to 2030.</w:t>
      </w:r>
    </w:p>
    <w:p w14:paraId="07784F8F" w14:textId="77777777" w:rsidR="00C722A0" w:rsidRPr="00C722A0" w:rsidRDefault="00C722A0" w:rsidP="00C722A0">
      <w:pPr>
        <w:numPr>
          <w:ilvl w:val="0"/>
          <w:numId w:val="8"/>
        </w:numPr>
        <w:rPr>
          <w:color w:val="0E101A"/>
        </w:rPr>
      </w:pPr>
      <w:r w:rsidRPr="00C722A0">
        <w:rPr>
          <w:rStyle w:val="Strong"/>
          <w:color w:val="0E101A"/>
        </w:rPr>
        <w:t>AI in Drug Discovery</w:t>
      </w:r>
      <w:r w:rsidRPr="00C722A0">
        <w:rPr>
          <w:color w:val="0E101A"/>
        </w:rPr>
        <w:t>: The market for AI in drug discovery is expanding, highlighting AI's pivotal role in identifying new treatments for various diseases.</w:t>
      </w:r>
    </w:p>
    <w:p w14:paraId="00000019" w14:textId="77777777" w:rsidR="00806D84" w:rsidRPr="00C722A0" w:rsidRDefault="00000000">
      <w:pPr>
        <w:pStyle w:val="Heading3"/>
        <w:keepNext w:val="0"/>
        <w:keepLines w:val="0"/>
        <w:spacing w:before="280"/>
        <w:rPr>
          <w:b/>
          <w:color w:val="000000"/>
          <w:sz w:val="24"/>
          <w:szCs w:val="24"/>
        </w:rPr>
      </w:pPr>
      <w:r w:rsidRPr="00C722A0">
        <w:rPr>
          <w:b/>
          <w:color w:val="000000"/>
          <w:sz w:val="24"/>
          <w:szCs w:val="24"/>
        </w:rPr>
        <w:t>Forward-Looking Statements</w:t>
      </w:r>
    </w:p>
    <w:p w14:paraId="0000001A" w14:textId="64BABC03" w:rsidR="00806D84" w:rsidRPr="00C722A0" w:rsidRDefault="00000000">
      <w:pPr>
        <w:spacing w:before="240" w:after="240"/>
      </w:pPr>
      <w:r w:rsidRPr="00C722A0">
        <w:t xml:space="preserve">This press release includes forward-looking statements that reflect Adnexus’s goals and expectations regarding future developments, including </w:t>
      </w:r>
      <w:r w:rsidR="00B86618">
        <w:t>Trapicolast's</w:t>
      </w:r>
      <w:r w:rsidRPr="00C722A0">
        <w:t xml:space="preserve"> progress and </w:t>
      </w:r>
      <w:r w:rsidR="00B86618">
        <w:t>AI's</w:t>
      </w:r>
      <w:r w:rsidRPr="00C722A0">
        <w:t xml:space="preserve"> impact on drug discovery. These statements are based on current assumptions and are subject to risks and uncertainties that may cause actual results to differ.</w:t>
      </w:r>
    </w:p>
    <w:p w14:paraId="0000001B" w14:textId="77777777" w:rsidR="00806D84" w:rsidRPr="00C722A0" w:rsidRDefault="00806D84">
      <w:pPr>
        <w:spacing w:before="240" w:after="240"/>
      </w:pPr>
    </w:p>
    <w:p w14:paraId="0000001C" w14:textId="77777777" w:rsidR="00806D84" w:rsidRPr="00C722A0" w:rsidRDefault="00000000">
      <w:pPr>
        <w:spacing w:before="240" w:after="240"/>
      </w:pPr>
      <w:r w:rsidRPr="00C722A0">
        <w:rPr>
          <w:b/>
        </w:rPr>
        <w:t>Contact Us</w:t>
      </w:r>
      <w:r w:rsidRPr="00C722A0">
        <w:t>:</w:t>
      </w:r>
      <w:r w:rsidRPr="00C722A0">
        <w:br/>
        <w:t>Dr. Gaurav Chandra</w:t>
      </w:r>
      <w:r w:rsidRPr="00C722A0">
        <w:br/>
      </w:r>
      <w:r w:rsidRPr="00C722A0">
        <w:rPr>
          <w:i/>
        </w:rPr>
        <w:t>gaurav.chandra@adnexusbiotech.com</w:t>
      </w:r>
      <w:r w:rsidRPr="00C722A0">
        <w:rPr>
          <w:i/>
        </w:rPr>
        <w:br/>
      </w:r>
      <w:hyperlink r:id="rId7">
        <w:r w:rsidR="00806D84" w:rsidRPr="00C722A0">
          <w:rPr>
            <w:color w:val="1155CC"/>
            <w:u w:val="single"/>
          </w:rPr>
          <w:t>adnexusbiotech.com</w:t>
        </w:r>
      </w:hyperlink>
    </w:p>
    <w:p w14:paraId="6245B5CC" w14:textId="6D89E9F9" w:rsidR="00EA6E69" w:rsidRPr="00C722A0" w:rsidRDefault="00EA6E69" w:rsidP="00EA6E69">
      <w:pPr>
        <w:spacing w:after="240"/>
      </w:pPr>
      <w:r w:rsidRPr="00C722A0">
        <w:t>cbdw.ai (</w:t>
      </w:r>
      <w:hyperlink r:id="rId8" w:history="1">
        <w:r w:rsidRPr="00C722A0">
          <w:rPr>
            <w:rStyle w:val="Hyperlink"/>
          </w:rPr>
          <w:t>www.cbdw.ai</w:t>
        </w:r>
      </w:hyperlink>
      <w:r w:rsidRPr="00C722A0">
        <w:t xml:space="preserve"> )</w:t>
      </w:r>
    </w:p>
    <w:p w14:paraId="2F45B356" w14:textId="77777777" w:rsidR="00EA6E69" w:rsidRPr="00C722A0" w:rsidRDefault="00EA6E69">
      <w:pPr>
        <w:spacing w:before="240" w:after="240"/>
        <w:rPr>
          <w:color w:val="1155CC"/>
          <w:u w:val="single"/>
        </w:rPr>
      </w:pPr>
    </w:p>
    <w:p w14:paraId="0000001D" w14:textId="77777777" w:rsidR="00806D84" w:rsidRPr="00C722A0" w:rsidRDefault="00806D84"/>
    <w:sectPr w:rsidR="00806D84" w:rsidRPr="00C722A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D2CF0"/>
    <w:multiLevelType w:val="multilevel"/>
    <w:tmpl w:val="3CBA1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330A3B"/>
    <w:multiLevelType w:val="multilevel"/>
    <w:tmpl w:val="311E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54EB0"/>
    <w:multiLevelType w:val="multilevel"/>
    <w:tmpl w:val="1ACC5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125A90"/>
    <w:multiLevelType w:val="multilevel"/>
    <w:tmpl w:val="28966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9C704C"/>
    <w:multiLevelType w:val="multilevel"/>
    <w:tmpl w:val="B7C45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1264F0"/>
    <w:multiLevelType w:val="multilevel"/>
    <w:tmpl w:val="1D244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D9D5DBE"/>
    <w:multiLevelType w:val="multilevel"/>
    <w:tmpl w:val="1160F5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59870738">
    <w:abstractNumId w:val="6"/>
  </w:num>
  <w:num w:numId="2" w16cid:durableId="2089840264">
    <w:abstractNumId w:val="8"/>
  </w:num>
  <w:num w:numId="3" w16cid:durableId="1365133631">
    <w:abstractNumId w:val="7"/>
  </w:num>
  <w:num w:numId="4" w16cid:durableId="406609323">
    <w:abstractNumId w:val="5"/>
  </w:num>
  <w:num w:numId="5" w16cid:durableId="539902968">
    <w:abstractNumId w:val="2"/>
  </w:num>
  <w:num w:numId="6" w16cid:durableId="1210648429">
    <w:abstractNumId w:val="1"/>
  </w:num>
  <w:num w:numId="7" w16cid:durableId="424157963">
    <w:abstractNumId w:val="4"/>
  </w:num>
  <w:num w:numId="8" w16cid:durableId="2059628257">
    <w:abstractNumId w:val="3"/>
  </w:num>
  <w:num w:numId="9" w16cid:durableId="41813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84"/>
    <w:rsid w:val="00075E5D"/>
    <w:rsid w:val="001E3B80"/>
    <w:rsid w:val="002A0280"/>
    <w:rsid w:val="00344CD0"/>
    <w:rsid w:val="00363820"/>
    <w:rsid w:val="003938A8"/>
    <w:rsid w:val="0080607B"/>
    <w:rsid w:val="00806D84"/>
    <w:rsid w:val="00833CAF"/>
    <w:rsid w:val="00954BD2"/>
    <w:rsid w:val="00B51B86"/>
    <w:rsid w:val="00B86618"/>
    <w:rsid w:val="00BD5793"/>
    <w:rsid w:val="00C722A0"/>
    <w:rsid w:val="00D0042E"/>
    <w:rsid w:val="00D42096"/>
    <w:rsid w:val="00DE76D5"/>
    <w:rsid w:val="00EA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124685"/>
  <w15:docId w15:val="{4FC68184-D153-3F4C-AE98-A9DBC4DB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2A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833CA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EA6E6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E6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72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7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dw.a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nexusbiotech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Gaurav Chandra</cp:lastModifiedBy>
  <cp:revision>25</cp:revision>
  <dcterms:created xsi:type="dcterms:W3CDTF">2025-01-03T19:09:00Z</dcterms:created>
  <dcterms:modified xsi:type="dcterms:W3CDTF">2025-01-06T11:52:00Z</dcterms:modified>
</cp:coreProperties>
</file>